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F038BC" w:rsidRPr="00D662F4" w:rsidRDefault="00F038BC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62F4" w:rsidRPr="00D662F4" w:rsidRDefault="00D662F4" w:rsidP="00F03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2F4">
              <w:rPr>
                <w:sz w:val="28"/>
                <w:szCs w:val="28"/>
              </w:rPr>
              <w:t>18.05.2023 № 1073-п</w:t>
            </w:r>
          </w:p>
          <w:p w:rsidR="001E4D91" w:rsidRDefault="001E4D91" w:rsidP="00D66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31181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выдач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>е  разрешения на отклонение от предельных параметров разрешенного строительства объекта капитального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27467D">
              <w:rPr>
                <w:rFonts w:eastAsia="Calibri"/>
                <w:sz w:val="28"/>
                <w:szCs w:val="28"/>
                <w:lang w:eastAsia="en-US"/>
              </w:rPr>
              <w:t>ль</w:t>
            </w:r>
            <w:proofErr w:type="spellEnd"/>
            <w:r w:rsidR="0027467D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27467D">
              <w:rPr>
                <w:rFonts w:eastAsia="Calibri"/>
                <w:sz w:val="28"/>
                <w:szCs w:val="28"/>
                <w:lang w:eastAsia="en-US"/>
              </w:rPr>
              <w:t>ул.Герасимовская</w:t>
            </w:r>
            <w:proofErr w:type="spellEnd"/>
            <w:r w:rsidR="0027467D">
              <w:rPr>
                <w:rFonts w:eastAsia="Calibri"/>
                <w:sz w:val="28"/>
                <w:szCs w:val="28"/>
                <w:lang w:eastAsia="en-US"/>
              </w:rPr>
              <w:t>, д.9</w:t>
            </w:r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16 Федерального закона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799</w:t>
      </w:r>
      <w:r w:rsidR="007C265B">
        <w:rPr>
          <w:sz w:val="28"/>
          <w:szCs w:val="28"/>
        </w:rPr>
        <w:t>, от 05.10.2022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>на  основании  заявле</w:t>
      </w:r>
      <w:r w:rsidR="0027467D">
        <w:rPr>
          <w:sz w:val="28"/>
          <w:szCs w:val="28"/>
        </w:rPr>
        <w:t xml:space="preserve">ния </w:t>
      </w:r>
      <w:proofErr w:type="spellStart"/>
      <w:r w:rsidR="0027467D">
        <w:rPr>
          <w:sz w:val="28"/>
          <w:szCs w:val="28"/>
        </w:rPr>
        <w:t>Товгаевой</w:t>
      </w:r>
      <w:proofErr w:type="spellEnd"/>
      <w:r w:rsidR="0027467D">
        <w:rPr>
          <w:sz w:val="28"/>
          <w:szCs w:val="28"/>
        </w:rPr>
        <w:t xml:space="preserve"> Э.Ш. от 16.05.2023  № 5</w:t>
      </w:r>
      <w:r>
        <w:rPr>
          <w:sz w:val="28"/>
          <w:szCs w:val="28"/>
        </w:rPr>
        <w:t>,  постановляю:</w:t>
      </w:r>
      <w:proofErr w:type="gramEnd"/>
    </w:p>
    <w:p w:rsidR="00F038BC" w:rsidRPr="00F038BC" w:rsidRDefault="0031181E" w:rsidP="0027467D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F038BC">
        <w:rPr>
          <w:sz w:val="28"/>
          <w:szCs w:val="28"/>
        </w:rPr>
        <w:t>выдаче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7C26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г</w:t>
      </w:r>
      <w:proofErr w:type="gramStart"/>
      <w:r w:rsidR="00E97499">
        <w:rPr>
          <w:rFonts w:eastAsia="Calibri"/>
          <w:sz w:val="28"/>
          <w:szCs w:val="28"/>
          <w:lang w:eastAsia="en-US"/>
        </w:rPr>
        <w:t>.</w:t>
      </w:r>
      <w:r w:rsidR="0027467D">
        <w:rPr>
          <w:rFonts w:eastAsia="Calibri"/>
          <w:sz w:val="28"/>
          <w:szCs w:val="28"/>
          <w:lang w:eastAsia="en-US"/>
        </w:rPr>
        <w:t>С</w:t>
      </w:r>
      <w:proofErr w:type="gramEnd"/>
      <w:r w:rsidR="0027467D">
        <w:rPr>
          <w:rFonts w:eastAsia="Calibri"/>
          <w:sz w:val="28"/>
          <w:szCs w:val="28"/>
          <w:lang w:eastAsia="en-US"/>
        </w:rPr>
        <w:t>оль</w:t>
      </w:r>
      <w:proofErr w:type="spellEnd"/>
      <w:r w:rsidR="0027467D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27467D">
        <w:rPr>
          <w:rFonts w:eastAsia="Calibri"/>
          <w:sz w:val="28"/>
          <w:szCs w:val="28"/>
          <w:lang w:eastAsia="en-US"/>
        </w:rPr>
        <w:t>ул.Герасимовская</w:t>
      </w:r>
      <w:proofErr w:type="spellEnd"/>
      <w:r w:rsidR="0027467D">
        <w:rPr>
          <w:rFonts w:eastAsia="Calibri"/>
          <w:sz w:val="28"/>
          <w:szCs w:val="28"/>
          <w:lang w:eastAsia="en-US"/>
        </w:rPr>
        <w:t>, д.9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27467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2.Слушания  провес</w:t>
      </w:r>
      <w:r w:rsidR="00D64B26">
        <w:rPr>
          <w:rFonts w:ascii="Times New Roman" w:hAnsi="Times New Roman" w:cs="Times New Roman"/>
          <w:sz w:val="28"/>
          <w:szCs w:val="28"/>
        </w:rPr>
        <w:t>ти  29</w:t>
      </w:r>
      <w:r w:rsidR="0027467D">
        <w:rPr>
          <w:rFonts w:ascii="Times New Roman" w:hAnsi="Times New Roman" w:cs="Times New Roman"/>
          <w:sz w:val="28"/>
          <w:szCs w:val="28"/>
        </w:rPr>
        <w:t>.05.2023 года  в 18-15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</w:t>
      </w:r>
      <w:r w:rsidRPr="00F038BC">
        <w:rPr>
          <w:rFonts w:ascii="Times New Roman" w:hAnsi="Times New Roman" w:cs="Times New Roman"/>
          <w:sz w:val="28"/>
          <w:szCs w:val="28"/>
        </w:rPr>
        <w:lastRenderedPageBreak/>
        <w:t xml:space="preserve">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Pr="0027467D" w:rsidRDefault="0031181E" w:rsidP="0027467D">
      <w:pPr>
        <w:ind w:firstLine="708"/>
        <w:jc w:val="both"/>
        <w:rPr>
          <w:sz w:val="28"/>
          <w:szCs w:val="28"/>
        </w:rPr>
      </w:pPr>
      <w:r w:rsidRPr="0027467D"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 w:rsidRPr="0027467D">
        <w:rPr>
          <w:sz w:val="28"/>
          <w:szCs w:val="28"/>
        </w:rPr>
        <w:t>Илецкий</w:t>
      </w:r>
      <w:proofErr w:type="spellEnd"/>
      <w:r w:rsidRPr="0027467D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27467D">
        <w:rPr>
          <w:sz w:val="28"/>
          <w:szCs w:val="28"/>
        </w:rPr>
        <w:t>Илецкого</w:t>
      </w:r>
      <w:proofErr w:type="spellEnd"/>
      <w:r w:rsidRPr="0027467D">
        <w:rPr>
          <w:sz w:val="28"/>
          <w:szCs w:val="28"/>
        </w:rPr>
        <w:t xml:space="preserve"> городского округа: </w:t>
      </w:r>
      <w:hyperlink r:id="rId7">
        <w:r w:rsidRPr="0027467D">
          <w:rPr>
            <w:rStyle w:val="InternetLink"/>
            <w:sz w:val="28"/>
            <w:szCs w:val="28"/>
          </w:rPr>
          <w:t>http://www.soliletsk.ru/</w:t>
        </w:r>
      </w:hyperlink>
      <w:r w:rsidRPr="0027467D">
        <w:rPr>
          <w:sz w:val="28"/>
          <w:szCs w:val="28"/>
        </w:rPr>
        <w:t>.</w:t>
      </w:r>
    </w:p>
    <w:p w:rsidR="00D64B26" w:rsidRPr="0027467D" w:rsidRDefault="0031181E" w:rsidP="0027467D">
      <w:pPr>
        <w:pStyle w:val="af1"/>
        <w:widowControl w:val="0"/>
        <w:ind w:left="0" w:firstLine="708"/>
        <w:jc w:val="both"/>
        <w:rPr>
          <w:sz w:val="28"/>
          <w:szCs w:val="28"/>
        </w:rPr>
      </w:pPr>
      <w:r w:rsidRPr="0027467D">
        <w:rPr>
          <w:sz w:val="28"/>
          <w:szCs w:val="28"/>
        </w:rPr>
        <w:t xml:space="preserve">4. </w:t>
      </w:r>
      <w:proofErr w:type="gramStart"/>
      <w:r w:rsidR="00D64B26" w:rsidRPr="0027467D">
        <w:rPr>
          <w:sz w:val="28"/>
          <w:szCs w:val="28"/>
        </w:rPr>
        <w:t>Контроль за</w:t>
      </w:r>
      <w:proofErr w:type="gramEnd"/>
      <w:r w:rsidR="00D64B26" w:rsidRPr="0027467D">
        <w:rPr>
          <w:sz w:val="28"/>
          <w:szCs w:val="28"/>
        </w:rPr>
        <w:t xml:space="preserve"> исполнением настоящего постановления возложить на </w:t>
      </w:r>
      <w:r w:rsidR="00D64B26" w:rsidRPr="0027467D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 w:rsidR="00D64B26" w:rsidRPr="0027467D">
        <w:rPr>
          <w:sz w:val="28"/>
          <w:szCs w:val="28"/>
          <w:lang w:eastAsia="en-US"/>
        </w:rPr>
        <w:t>Полосухина</w:t>
      </w:r>
      <w:proofErr w:type="spellEnd"/>
      <w:r w:rsidR="00D64B26" w:rsidRPr="0027467D">
        <w:rPr>
          <w:sz w:val="28"/>
          <w:szCs w:val="28"/>
          <w:lang w:eastAsia="en-US"/>
        </w:rPr>
        <w:t xml:space="preserve"> В.Н</w:t>
      </w:r>
      <w:r w:rsidR="00D64B26" w:rsidRPr="0027467D">
        <w:rPr>
          <w:noProof/>
          <w:sz w:val="28"/>
          <w:szCs w:val="28"/>
        </w:rPr>
        <w:t>.</w:t>
      </w:r>
    </w:p>
    <w:p w:rsidR="001E4D91" w:rsidRPr="0027467D" w:rsidRDefault="0031181E" w:rsidP="0027467D">
      <w:pPr>
        <w:pStyle w:val="af1"/>
        <w:widowControl w:val="0"/>
        <w:ind w:left="0" w:firstLine="708"/>
        <w:jc w:val="both"/>
        <w:rPr>
          <w:sz w:val="28"/>
          <w:szCs w:val="28"/>
        </w:rPr>
      </w:pPr>
      <w:r w:rsidRPr="0027467D"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E4D91" w:rsidRDefault="001E4D91" w:rsidP="00D909FF">
      <w:pPr>
        <w:jc w:val="both"/>
        <w:rPr>
          <w:sz w:val="28"/>
          <w:szCs w:val="28"/>
        </w:rPr>
      </w:pPr>
    </w:p>
    <w:p w:rsidR="001E4D91" w:rsidRDefault="001E4D91" w:rsidP="00D909FF">
      <w:pPr>
        <w:jc w:val="both"/>
      </w:pPr>
    </w:p>
    <w:p w:rsidR="00D909FF" w:rsidRDefault="00D909FF" w:rsidP="00D909FF">
      <w:pPr>
        <w:jc w:val="both"/>
      </w:pPr>
    </w:p>
    <w:p w:rsidR="00D909FF" w:rsidRDefault="00D909FF" w:rsidP="00D909FF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D909FF" w:rsidRDefault="00D909FF" w:rsidP="00D909FF">
      <w:pPr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    В.И. Дубровин</w:t>
      </w: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D909FF" w:rsidRDefault="00D909FF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E97499" w:rsidRDefault="00E97499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31181E" w:rsidP="00D909FF">
      <w:pPr>
        <w:ind w:right="-25"/>
        <w:jc w:val="both"/>
      </w:pPr>
      <w:r>
        <w:rPr>
          <w:sz w:val="20"/>
          <w:szCs w:val="20"/>
        </w:rPr>
        <w:t>Разослано: в дело, прокуратуру района, организационный отдел,  отдел архитектуры, градостроительства и земельных отношений, заявителю.</w:t>
      </w:r>
      <w:bookmarkStart w:id="1" w:name="_GoBack"/>
      <w:bookmarkEnd w:id="1"/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113B"/>
    <w:rsid w:val="00127ACA"/>
    <w:rsid w:val="001E4D91"/>
    <w:rsid w:val="0020240E"/>
    <w:rsid w:val="0027467D"/>
    <w:rsid w:val="0031181E"/>
    <w:rsid w:val="003420CE"/>
    <w:rsid w:val="00630A13"/>
    <w:rsid w:val="00735C4D"/>
    <w:rsid w:val="007C265B"/>
    <w:rsid w:val="007F3A98"/>
    <w:rsid w:val="00CC3F89"/>
    <w:rsid w:val="00D64B26"/>
    <w:rsid w:val="00D662F4"/>
    <w:rsid w:val="00D909FF"/>
    <w:rsid w:val="00E97499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86E2-C8C8-41BB-BC06-EFAFD2C7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отклонение от предельных</vt:lpstr>
    </vt:vector>
  </TitlesOfParts>
  <Company>CROC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22</cp:revision>
  <cp:lastPrinted>2023-04-21T05:54:00Z</cp:lastPrinted>
  <dcterms:created xsi:type="dcterms:W3CDTF">2022-04-26T09:55:00Z</dcterms:created>
  <dcterms:modified xsi:type="dcterms:W3CDTF">2023-05-19T11:15:00Z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