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995D49" w:rsidP="00DB18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5D49">
              <w:rPr>
                <w:sz w:val="28"/>
                <w:szCs w:val="28"/>
              </w:rPr>
              <w:t>29.10.2021 № 233</w:t>
            </w:r>
            <w:r w:rsidR="009F1B36">
              <w:rPr>
                <w:sz w:val="28"/>
                <w:szCs w:val="28"/>
              </w:rPr>
              <w:t>4</w:t>
            </w:r>
            <w:r w:rsidRPr="00995D49">
              <w:rPr>
                <w:sz w:val="28"/>
                <w:szCs w:val="28"/>
              </w:rPr>
              <w:t>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157754" w:rsidRPr="00E26D5A" w:rsidTr="00CB3110">
        <w:trPr>
          <w:trHeight w:val="843"/>
        </w:trPr>
        <w:tc>
          <w:tcPr>
            <w:tcW w:w="6487" w:type="dxa"/>
          </w:tcPr>
          <w:p w:rsidR="00766B1D" w:rsidRPr="009D18AB" w:rsidRDefault="009D18AB" w:rsidP="00B33D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18AB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 w:rsidRPr="009D18AB">
              <w:rPr>
                <w:rFonts w:ascii="Times New Roman" w:hAnsi="Times New Roman" w:cs="Times New Roman"/>
                <w:b w:val="0"/>
                <w:sz w:val="28"/>
                <w:szCs w:val="28"/>
              </w:rPr>
              <w:t>Илецкий</w:t>
            </w:r>
            <w:proofErr w:type="spellEnd"/>
            <w:r w:rsidRPr="009D18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городской округ от 23.07.2020 № 2137-п «Об утв</w:t>
            </w:r>
            <w:r w:rsidRPr="009D18A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«Выдача разрешения на ввод в эксплуатацию объекта, строительство (реконструкция) которого осуществлялось на основании выданного органом местного самоуправления разрешения на строительство»</w:t>
            </w:r>
          </w:p>
        </w:tc>
      </w:tr>
    </w:tbl>
    <w:p w:rsidR="00766B1D" w:rsidRPr="00CD0972" w:rsidRDefault="00766B1D" w:rsidP="00CD0972">
      <w:pPr>
        <w:rPr>
          <w:sz w:val="28"/>
          <w:szCs w:val="28"/>
        </w:rPr>
      </w:pPr>
    </w:p>
    <w:p w:rsidR="009D18AB" w:rsidRPr="00EA67C8" w:rsidRDefault="009D18AB" w:rsidP="00CD0972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</w:t>
      </w:r>
      <w:proofErr w:type="gramStart"/>
      <w:r w:rsidRPr="00EA67C8">
        <w:rPr>
          <w:sz w:val="28"/>
          <w:szCs w:val="28"/>
        </w:rPr>
        <w:t>Об</w:t>
      </w:r>
      <w:proofErr w:type="gramEnd"/>
      <w:r w:rsidRPr="00EA67C8">
        <w:rPr>
          <w:sz w:val="28"/>
          <w:szCs w:val="28"/>
        </w:rPr>
        <w:t xml:space="preserve"> </w:t>
      </w:r>
      <w:proofErr w:type="gramStart"/>
      <w:r w:rsidRPr="00EA67C8">
        <w:rPr>
          <w:sz w:val="28"/>
          <w:szCs w:val="28"/>
        </w:rPr>
        <w:t xml:space="preserve">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>
        <w:rPr>
          <w:sz w:val="28"/>
          <w:szCs w:val="28"/>
        </w:rPr>
        <w:t>55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</w:t>
      </w:r>
      <w:proofErr w:type="gramEnd"/>
      <w:r>
        <w:rPr>
          <w:sz w:val="28"/>
          <w:szCs w:val="28"/>
        </w:rPr>
        <w:t xml:space="preserve">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9D18AB" w:rsidRPr="005B25F9" w:rsidRDefault="009D18AB" w:rsidP="00CD0972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 в постановление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23.07.2020 № 2137-п «Об утверждении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административного регламента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предоставления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услуги </w:t>
      </w:r>
      <w:r w:rsidRPr="007733C7">
        <w:rPr>
          <w:rFonts w:ascii="Times New Roman" w:hAnsi="Times New Roman" w:cs="Times New Roman"/>
          <w:b w:val="0"/>
          <w:bCs/>
          <w:sz w:val="28"/>
          <w:szCs w:val="28"/>
        </w:rPr>
        <w:t>«Выдача разрешения на ввод в эксплуатацию объекта, строительство (реконструкция) которого осуществлялось на основании выданного органом местного самоуправления разрешения на строительство»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9D18AB" w:rsidRDefault="009D18AB" w:rsidP="00CD09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0B03">
        <w:rPr>
          <w:rFonts w:ascii="Times New Roman" w:hAnsi="Times New Roman" w:cs="Times New Roman"/>
          <w:b w:val="0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F40B0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Подпункт 6 пункта 14 </w:t>
      </w:r>
      <w:r w:rsidRPr="007733C7">
        <w:rPr>
          <w:rFonts w:ascii="Times New Roman" w:hAnsi="Times New Roman" w:cs="Times New Roman"/>
          <w:b w:val="0"/>
          <w:sz w:val="28"/>
          <w:szCs w:val="28"/>
        </w:rPr>
        <w:t>приложения к постановлению изложить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18AB" w:rsidRPr="005B25F9" w:rsidRDefault="009D18AB" w:rsidP="00CD09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B03">
        <w:rPr>
          <w:b/>
          <w:sz w:val="28"/>
          <w:szCs w:val="28"/>
        </w:rPr>
        <w:t>«</w:t>
      </w:r>
      <w:r w:rsidRPr="002F3349">
        <w:rPr>
          <w:sz w:val="28"/>
          <w:szCs w:val="28"/>
        </w:rPr>
        <w:t>6)</w:t>
      </w:r>
      <w:r w:rsidRPr="00132F77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proofErr w:type="gramStart"/>
      <w:r w:rsidR="00CF30A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9D18AB" w:rsidRDefault="009D18AB" w:rsidP="00CD09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25F9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B25F9">
        <w:rPr>
          <w:rFonts w:ascii="Times New Roman" w:hAnsi="Times New Roman" w:cs="Times New Roman"/>
          <w:b w:val="0"/>
          <w:sz w:val="28"/>
          <w:szCs w:val="28"/>
        </w:rPr>
        <w:t>.</w:t>
      </w:r>
      <w:r w:rsidRPr="00CD0972">
        <w:rPr>
          <w:b w:val="0"/>
          <w:sz w:val="28"/>
          <w:szCs w:val="28"/>
        </w:rPr>
        <w:t xml:space="preserve"> </w:t>
      </w:r>
      <w:r w:rsidRPr="00743785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Pr="007733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Pr="007733C7">
        <w:rPr>
          <w:rFonts w:ascii="Times New Roman" w:hAnsi="Times New Roman" w:cs="Times New Roman"/>
          <w:b w:val="0"/>
          <w:sz w:val="28"/>
          <w:szCs w:val="28"/>
        </w:rPr>
        <w:t xml:space="preserve"> приложения к постановлению изложить в новой редакции:</w:t>
      </w:r>
    </w:p>
    <w:p w:rsidR="009D18AB" w:rsidRDefault="009D18AB" w:rsidP="00CD0972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>
        <w:rPr>
          <w:rFonts w:ascii="Times New Roman CYR" w:hAnsi="Times New Roman CYR"/>
          <w:sz w:val="28"/>
          <w:szCs w:val="28"/>
        </w:rPr>
        <w:t>16. П</w:t>
      </w:r>
      <w:r>
        <w:rPr>
          <w:rFonts w:eastAsiaTheme="minorHAnsi"/>
          <w:sz w:val="28"/>
          <w:szCs w:val="28"/>
          <w:lang w:eastAsia="en-US"/>
        </w:rPr>
        <w:t xml:space="preserve">рием от застройщика заявления о выдаче разрешения на ввод объекта капитального строительства в эксплуатацию, документов, необходимых для получения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разрешения, информирование о порядке и ходе предоставления услуги и выдача указанного разрешения могут осуществляться:</w:t>
      </w:r>
      <w:bookmarkStart w:id="1" w:name="Par1"/>
      <w:bookmarkEnd w:id="1"/>
    </w:p>
    <w:p w:rsidR="009D18AB" w:rsidRDefault="009D18AB" w:rsidP="00CD09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непосредственно уполномоченными на выдачу разрешений на строительство в соответствии с </w:t>
      </w:r>
      <w:r w:rsidRPr="00FE3928">
        <w:rPr>
          <w:rFonts w:eastAsiaTheme="minorHAnsi"/>
          <w:sz w:val="28"/>
          <w:szCs w:val="28"/>
          <w:lang w:eastAsia="en-US"/>
        </w:rPr>
        <w:t>частями 4 - 6 статьи 51</w:t>
      </w:r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</w:t>
      </w:r>
      <w:proofErr w:type="spellStart"/>
      <w:r>
        <w:rPr>
          <w:rFonts w:eastAsiaTheme="minorHAnsi"/>
          <w:sz w:val="28"/>
          <w:szCs w:val="28"/>
          <w:lang w:eastAsia="en-US"/>
        </w:rPr>
        <w:t>Росатом</w:t>
      </w:r>
      <w:proofErr w:type="spellEnd"/>
      <w:r>
        <w:rPr>
          <w:rFonts w:eastAsiaTheme="minorHAnsi"/>
          <w:sz w:val="28"/>
          <w:szCs w:val="28"/>
          <w:lang w:eastAsia="en-US"/>
        </w:rPr>
        <w:t>", Государственной корпорацией по космической деятельности "</w:t>
      </w:r>
      <w:proofErr w:type="spellStart"/>
      <w:r>
        <w:rPr>
          <w:rFonts w:eastAsiaTheme="minorHAnsi"/>
          <w:sz w:val="28"/>
          <w:szCs w:val="28"/>
          <w:lang w:eastAsia="en-US"/>
        </w:rPr>
        <w:t>Роскосмос</w:t>
      </w:r>
      <w:proofErr w:type="spellEnd"/>
      <w:r>
        <w:rPr>
          <w:rFonts w:eastAsiaTheme="minorHAnsi"/>
          <w:sz w:val="28"/>
          <w:szCs w:val="28"/>
          <w:lang w:eastAsia="en-US"/>
        </w:rPr>
        <w:t>";</w:t>
      </w:r>
    </w:p>
    <w:p w:rsidR="009D18AB" w:rsidRDefault="009D18AB" w:rsidP="00CD09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</w:t>
      </w:r>
      <w:r w:rsidRPr="00FE3928">
        <w:rPr>
          <w:rFonts w:eastAsiaTheme="minorHAnsi"/>
          <w:sz w:val="28"/>
          <w:szCs w:val="28"/>
          <w:lang w:eastAsia="en-US"/>
        </w:rPr>
        <w:t>частями 4 - 6 статьи 51</w:t>
      </w:r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 федеральным органом исполнительной власти, органом исполнительной власти субъекта Российской Федерации, органом местного самоуправления, организацией;</w:t>
      </w:r>
    </w:p>
    <w:p w:rsidR="009D18AB" w:rsidRDefault="009D18AB" w:rsidP="00CD09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  <w:bookmarkStart w:id="2" w:name="Par4"/>
      <w:bookmarkEnd w:id="2"/>
    </w:p>
    <w:p w:rsidR="009D18AB" w:rsidRDefault="009D18AB" w:rsidP="00CD09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9D18AB" w:rsidRDefault="009D18AB" w:rsidP="00CD09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для застройщиков, наименования которых содержат слова "специализированный застройщик", наряду со способами, указанными в </w:t>
      </w:r>
      <w:r w:rsidRPr="00FE3928">
        <w:rPr>
          <w:rFonts w:eastAsiaTheme="minorHAnsi"/>
          <w:sz w:val="28"/>
          <w:szCs w:val="28"/>
          <w:lang w:eastAsia="en-US"/>
        </w:rPr>
        <w:t xml:space="preserve">пунктах 1 - </w:t>
      </w:r>
      <w:hyperlink w:anchor="Par4" w:history="1">
        <w:r w:rsidRPr="00FE3928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FE39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настоящей части, с использованием единой информационной системы жилищного строительства, предусмотренной Федеральным</w:t>
      </w:r>
      <w:r w:rsidR="00E415A2">
        <w:rPr>
          <w:rFonts w:eastAsiaTheme="minorHAnsi"/>
          <w:sz w:val="28"/>
          <w:szCs w:val="28"/>
          <w:lang w:eastAsia="en-US"/>
        </w:rPr>
        <w:t xml:space="preserve"> законом</w:t>
      </w:r>
      <w:r w:rsidRPr="00FE39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если </w:t>
      </w: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осуществляется </w:t>
      </w:r>
      <w:r>
        <w:rPr>
          <w:rFonts w:eastAsiaTheme="minorHAnsi"/>
          <w:sz w:val="28"/>
          <w:szCs w:val="28"/>
          <w:lang w:eastAsia="en-US"/>
        </w:rPr>
        <w:lastRenderedPageBreak/>
        <w:t>через иные информационные системы, которые должны быть интегрированы с единой информационной системой жилищного строительства.</w:t>
      </w:r>
      <w:r w:rsidR="00CF30A0">
        <w:rPr>
          <w:rFonts w:eastAsiaTheme="minorHAnsi"/>
          <w:sz w:val="28"/>
          <w:szCs w:val="28"/>
          <w:lang w:eastAsia="en-US"/>
        </w:rPr>
        <w:t>».</w:t>
      </w:r>
    </w:p>
    <w:p w:rsidR="009D18AB" w:rsidRDefault="009D18AB" w:rsidP="00CD0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9D18AB" w:rsidRPr="00D75B5F" w:rsidRDefault="009D18AB" w:rsidP="00CD097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75B5F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Хафизова А.Р.</w:t>
      </w:r>
    </w:p>
    <w:p w:rsidR="009D18AB" w:rsidRPr="007E2DEE" w:rsidRDefault="009D18AB" w:rsidP="00CD0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9D18AB" w:rsidRDefault="009D18AB" w:rsidP="009D18AB">
      <w:pPr>
        <w:rPr>
          <w:sz w:val="28"/>
        </w:rPr>
      </w:pPr>
    </w:p>
    <w:p w:rsidR="00FF7D8E" w:rsidRDefault="00FF7D8E" w:rsidP="009D18AB">
      <w:pPr>
        <w:tabs>
          <w:tab w:val="left" w:pos="567"/>
          <w:tab w:val="left" w:pos="709"/>
        </w:tabs>
        <w:contextualSpacing/>
        <w:jc w:val="both"/>
        <w:rPr>
          <w:rStyle w:val="21"/>
          <w:sz w:val="28"/>
          <w:szCs w:val="28"/>
        </w:rPr>
      </w:pPr>
    </w:p>
    <w:p w:rsidR="00E76F9D" w:rsidRDefault="00E76F9D" w:rsidP="009D18AB">
      <w:pPr>
        <w:tabs>
          <w:tab w:val="left" w:pos="567"/>
          <w:tab w:val="left" w:pos="709"/>
        </w:tabs>
        <w:contextualSpacing/>
        <w:jc w:val="both"/>
        <w:rPr>
          <w:rStyle w:val="21"/>
          <w:sz w:val="28"/>
          <w:szCs w:val="28"/>
        </w:rPr>
      </w:pPr>
    </w:p>
    <w:p w:rsidR="00CB3110" w:rsidRDefault="00CB3110" w:rsidP="00CB3110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CB3110" w:rsidRPr="00127744" w:rsidRDefault="00CB3110" w:rsidP="00CB3110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   </w:t>
      </w:r>
      <w:r w:rsidRPr="00454165">
        <w:rPr>
          <w:spacing w:val="-2"/>
          <w:sz w:val="28"/>
          <w:szCs w:val="28"/>
        </w:rPr>
        <w:t>А.А. Кузьмин</w:t>
      </w:r>
    </w:p>
    <w:p w:rsidR="002F474C" w:rsidRDefault="002F474C" w:rsidP="00D70BD3">
      <w:pPr>
        <w:pStyle w:val="aa"/>
        <w:jc w:val="both"/>
        <w:rPr>
          <w:sz w:val="20"/>
          <w:szCs w:val="20"/>
        </w:rPr>
      </w:pPr>
    </w:p>
    <w:p w:rsidR="00CB3110" w:rsidRDefault="00CB3110" w:rsidP="00D70BD3">
      <w:pPr>
        <w:pStyle w:val="aa"/>
        <w:jc w:val="both"/>
        <w:rPr>
          <w:sz w:val="20"/>
          <w:szCs w:val="20"/>
        </w:rPr>
      </w:pPr>
    </w:p>
    <w:p w:rsidR="00CB3110" w:rsidRDefault="00CB3110" w:rsidP="00D70BD3">
      <w:pPr>
        <w:pStyle w:val="aa"/>
        <w:jc w:val="both"/>
        <w:rPr>
          <w:sz w:val="20"/>
          <w:szCs w:val="20"/>
        </w:rPr>
      </w:pPr>
    </w:p>
    <w:p w:rsidR="00CB3110" w:rsidRDefault="00CB3110" w:rsidP="00D70BD3">
      <w:pPr>
        <w:pStyle w:val="aa"/>
        <w:jc w:val="both"/>
        <w:rPr>
          <w:sz w:val="20"/>
          <w:szCs w:val="20"/>
        </w:rPr>
      </w:pPr>
    </w:p>
    <w:p w:rsidR="002F474C" w:rsidRDefault="002F474C" w:rsidP="00D70BD3">
      <w:pPr>
        <w:pStyle w:val="aa"/>
        <w:jc w:val="both"/>
        <w:rPr>
          <w:sz w:val="20"/>
          <w:szCs w:val="20"/>
        </w:rPr>
      </w:pPr>
    </w:p>
    <w:p w:rsidR="006C6433" w:rsidRDefault="006C6433" w:rsidP="00D70BD3">
      <w:pPr>
        <w:pStyle w:val="aa"/>
        <w:jc w:val="both"/>
        <w:rPr>
          <w:sz w:val="20"/>
          <w:szCs w:val="20"/>
        </w:rPr>
      </w:pPr>
    </w:p>
    <w:p w:rsidR="006C6433" w:rsidRDefault="006C6433" w:rsidP="00D70BD3">
      <w:pPr>
        <w:pStyle w:val="aa"/>
        <w:jc w:val="both"/>
        <w:rPr>
          <w:sz w:val="20"/>
          <w:szCs w:val="20"/>
        </w:rPr>
      </w:pPr>
    </w:p>
    <w:p w:rsidR="006C6433" w:rsidRDefault="006C6433" w:rsidP="00D70BD3">
      <w:pPr>
        <w:pStyle w:val="aa"/>
        <w:jc w:val="both"/>
        <w:rPr>
          <w:sz w:val="20"/>
          <w:szCs w:val="20"/>
        </w:rPr>
      </w:pPr>
    </w:p>
    <w:p w:rsidR="009D18AB" w:rsidRDefault="009D18AB" w:rsidP="00D70BD3">
      <w:pPr>
        <w:pStyle w:val="aa"/>
        <w:jc w:val="both"/>
        <w:rPr>
          <w:sz w:val="20"/>
          <w:szCs w:val="20"/>
        </w:rPr>
      </w:pPr>
    </w:p>
    <w:p w:rsidR="009D18AB" w:rsidRDefault="009D18AB" w:rsidP="00D70BD3">
      <w:pPr>
        <w:pStyle w:val="aa"/>
        <w:jc w:val="both"/>
        <w:rPr>
          <w:sz w:val="20"/>
          <w:szCs w:val="20"/>
        </w:rPr>
      </w:pPr>
    </w:p>
    <w:p w:rsidR="009D18AB" w:rsidRDefault="009D18AB" w:rsidP="00D70BD3">
      <w:pPr>
        <w:pStyle w:val="aa"/>
        <w:jc w:val="both"/>
        <w:rPr>
          <w:sz w:val="20"/>
          <w:szCs w:val="20"/>
        </w:rPr>
      </w:pPr>
    </w:p>
    <w:p w:rsidR="009D18AB" w:rsidRDefault="009D18AB" w:rsidP="00D70BD3">
      <w:pPr>
        <w:pStyle w:val="aa"/>
        <w:jc w:val="both"/>
        <w:rPr>
          <w:sz w:val="20"/>
          <w:szCs w:val="20"/>
        </w:rPr>
      </w:pPr>
    </w:p>
    <w:p w:rsidR="009D18AB" w:rsidRDefault="009D18AB" w:rsidP="00D70BD3">
      <w:pPr>
        <w:pStyle w:val="aa"/>
        <w:jc w:val="both"/>
        <w:rPr>
          <w:sz w:val="20"/>
          <w:szCs w:val="20"/>
        </w:rPr>
      </w:pPr>
    </w:p>
    <w:p w:rsidR="009D18AB" w:rsidRDefault="009D18AB" w:rsidP="00D70BD3">
      <w:pPr>
        <w:pStyle w:val="aa"/>
        <w:jc w:val="both"/>
        <w:rPr>
          <w:sz w:val="20"/>
          <w:szCs w:val="20"/>
        </w:rPr>
      </w:pPr>
    </w:p>
    <w:p w:rsidR="009D18AB" w:rsidRDefault="009D18AB" w:rsidP="00D70BD3">
      <w:pPr>
        <w:pStyle w:val="aa"/>
        <w:jc w:val="both"/>
        <w:rPr>
          <w:sz w:val="20"/>
          <w:szCs w:val="20"/>
        </w:rPr>
      </w:pPr>
    </w:p>
    <w:p w:rsidR="009D18AB" w:rsidRDefault="009D18AB" w:rsidP="00D70BD3">
      <w:pPr>
        <w:pStyle w:val="aa"/>
        <w:jc w:val="both"/>
        <w:rPr>
          <w:sz w:val="20"/>
          <w:szCs w:val="20"/>
        </w:rPr>
      </w:pPr>
    </w:p>
    <w:p w:rsidR="009D18AB" w:rsidRDefault="009D18AB" w:rsidP="00D70BD3">
      <w:pPr>
        <w:pStyle w:val="aa"/>
        <w:jc w:val="both"/>
        <w:rPr>
          <w:sz w:val="20"/>
          <w:szCs w:val="20"/>
        </w:rPr>
      </w:pPr>
    </w:p>
    <w:p w:rsidR="009D18AB" w:rsidRDefault="009D18AB" w:rsidP="00D70BD3">
      <w:pPr>
        <w:pStyle w:val="aa"/>
        <w:jc w:val="both"/>
        <w:rPr>
          <w:sz w:val="20"/>
          <w:szCs w:val="20"/>
        </w:rPr>
      </w:pPr>
    </w:p>
    <w:p w:rsidR="009D18AB" w:rsidRDefault="009D18AB" w:rsidP="00D70BD3">
      <w:pPr>
        <w:pStyle w:val="aa"/>
        <w:jc w:val="both"/>
        <w:rPr>
          <w:sz w:val="20"/>
          <w:szCs w:val="20"/>
        </w:rPr>
      </w:pPr>
    </w:p>
    <w:p w:rsidR="009D18AB" w:rsidRDefault="009D18AB" w:rsidP="00D70BD3">
      <w:pPr>
        <w:pStyle w:val="aa"/>
        <w:jc w:val="both"/>
        <w:rPr>
          <w:sz w:val="20"/>
          <w:szCs w:val="20"/>
        </w:rPr>
      </w:pPr>
    </w:p>
    <w:p w:rsidR="009D18AB" w:rsidRDefault="009D18AB" w:rsidP="00D70BD3">
      <w:pPr>
        <w:pStyle w:val="aa"/>
        <w:jc w:val="both"/>
        <w:rPr>
          <w:sz w:val="20"/>
          <w:szCs w:val="20"/>
        </w:rPr>
      </w:pPr>
    </w:p>
    <w:p w:rsidR="009D18AB" w:rsidRDefault="009D18AB" w:rsidP="00D70BD3">
      <w:pPr>
        <w:pStyle w:val="aa"/>
        <w:jc w:val="both"/>
        <w:rPr>
          <w:sz w:val="20"/>
          <w:szCs w:val="20"/>
        </w:rPr>
      </w:pPr>
    </w:p>
    <w:p w:rsidR="009D18AB" w:rsidRDefault="009D18AB" w:rsidP="00D70BD3">
      <w:pPr>
        <w:pStyle w:val="aa"/>
        <w:jc w:val="both"/>
        <w:rPr>
          <w:sz w:val="20"/>
          <w:szCs w:val="20"/>
        </w:rPr>
      </w:pPr>
    </w:p>
    <w:p w:rsidR="009D18AB" w:rsidRDefault="009D18AB" w:rsidP="00D70BD3">
      <w:pPr>
        <w:pStyle w:val="aa"/>
        <w:jc w:val="both"/>
        <w:rPr>
          <w:sz w:val="20"/>
          <w:szCs w:val="20"/>
        </w:rPr>
      </w:pPr>
    </w:p>
    <w:p w:rsidR="009D18AB" w:rsidRDefault="009D18AB" w:rsidP="00D70BD3">
      <w:pPr>
        <w:pStyle w:val="aa"/>
        <w:jc w:val="both"/>
        <w:rPr>
          <w:sz w:val="20"/>
          <w:szCs w:val="20"/>
        </w:rPr>
      </w:pPr>
    </w:p>
    <w:p w:rsidR="009D18AB" w:rsidRDefault="009D18AB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9F1B36" w:rsidRDefault="009F1B36" w:rsidP="00D70BD3">
      <w:pPr>
        <w:pStyle w:val="aa"/>
        <w:jc w:val="both"/>
        <w:rPr>
          <w:sz w:val="20"/>
          <w:szCs w:val="20"/>
        </w:rPr>
      </w:pPr>
    </w:p>
    <w:p w:rsidR="009F1B36" w:rsidRDefault="009F1B36" w:rsidP="00D70BD3">
      <w:pPr>
        <w:pStyle w:val="aa"/>
        <w:jc w:val="both"/>
        <w:rPr>
          <w:sz w:val="20"/>
          <w:szCs w:val="20"/>
        </w:rPr>
      </w:pPr>
    </w:p>
    <w:p w:rsidR="009F1B36" w:rsidRDefault="009F1B36" w:rsidP="00D70BD3">
      <w:pPr>
        <w:pStyle w:val="aa"/>
        <w:jc w:val="both"/>
        <w:rPr>
          <w:sz w:val="20"/>
          <w:szCs w:val="20"/>
        </w:rPr>
      </w:pPr>
    </w:p>
    <w:p w:rsidR="009F1B36" w:rsidRDefault="009F1B36" w:rsidP="00D70BD3">
      <w:pPr>
        <w:pStyle w:val="aa"/>
        <w:jc w:val="both"/>
        <w:rPr>
          <w:sz w:val="20"/>
          <w:szCs w:val="20"/>
        </w:rPr>
      </w:pPr>
    </w:p>
    <w:p w:rsidR="009F1B36" w:rsidRDefault="009F1B36" w:rsidP="00D70BD3">
      <w:pPr>
        <w:pStyle w:val="aa"/>
        <w:jc w:val="both"/>
        <w:rPr>
          <w:sz w:val="20"/>
          <w:szCs w:val="20"/>
        </w:rPr>
      </w:pPr>
    </w:p>
    <w:p w:rsidR="00E76F9D" w:rsidRDefault="00E76F9D" w:rsidP="00D70BD3">
      <w:pPr>
        <w:pStyle w:val="aa"/>
        <w:jc w:val="both"/>
        <w:rPr>
          <w:sz w:val="20"/>
          <w:szCs w:val="20"/>
        </w:rPr>
      </w:pPr>
    </w:p>
    <w:p w:rsidR="00E76F9D" w:rsidRDefault="00E76F9D" w:rsidP="00D70BD3">
      <w:pPr>
        <w:pStyle w:val="aa"/>
        <w:jc w:val="both"/>
        <w:rPr>
          <w:sz w:val="20"/>
          <w:szCs w:val="20"/>
        </w:rPr>
      </w:pPr>
    </w:p>
    <w:p w:rsidR="00E76F9D" w:rsidRDefault="00E76F9D" w:rsidP="00D70BD3">
      <w:pPr>
        <w:pStyle w:val="aa"/>
        <w:jc w:val="both"/>
        <w:rPr>
          <w:sz w:val="20"/>
          <w:szCs w:val="20"/>
        </w:rPr>
      </w:pPr>
    </w:p>
    <w:p w:rsidR="00E76F9D" w:rsidRDefault="00E76F9D" w:rsidP="00D70BD3">
      <w:pPr>
        <w:pStyle w:val="aa"/>
        <w:jc w:val="both"/>
        <w:rPr>
          <w:sz w:val="20"/>
          <w:szCs w:val="20"/>
        </w:rPr>
      </w:pPr>
    </w:p>
    <w:p w:rsidR="00E76F9D" w:rsidRDefault="00E76F9D" w:rsidP="00D70BD3">
      <w:pPr>
        <w:pStyle w:val="aa"/>
        <w:jc w:val="both"/>
        <w:rPr>
          <w:sz w:val="20"/>
          <w:szCs w:val="20"/>
        </w:rPr>
      </w:pPr>
    </w:p>
    <w:p w:rsidR="00E76F9D" w:rsidRDefault="00E76F9D" w:rsidP="00D70BD3">
      <w:pPr>
        <w:pStyle w:val="aa"/>
        <w:jc w:val="both"/>
        <w:rPr>
          <w:sz w:val="20"/>
          <w:szCs w:val="20"/>
        </w:rPr>
      </w:pPr>
    </w:p>
    <w:p w:rsidR="00E76F9D" w:rsidRDefault="00E76F9D" w:rsidP="00D70BD3">
      <w:pPr>
        <w:pStyle w:val="aa"/>
        <w:jc w:val="both"/>
        <w:rPr>
          <w:sz w:val="20"/>
          <w:szCs w:val="20"/>
        </w:rPr>
      </w:pPr>
    </w:p>
    <w:p w:rsidR="009F1B36" w:rsidRDefault="009F1B36" w:rsidP="00D70BD3">
      <w:pPr>
        <w:pStyle w:val="aa"/>
        <w:jc w:val="both"/>
        <w:rPr>
          <w:sz w:val="20"/>
          <w:szCs w:val="20"/>
        </w:rPr>
      </w:pPr>
    </w:p>
    <w:p w:rsidR="00C91BDB" w:rsidRPr="00FA7CAD" w:rsidRDefault="00AD6272" w:rsidP="00CB3110">
      <w:pPr>
        <w:tabs>
          <w:tab w:val="left" w:pos="709"/>
        </w:tabs>
        <w:jc w:val="both"/>
        <w:rPr>
          <w:sz w:val="20"/>
          <w:szCs w:val="20"/>
        </w:rPr>
      </w:pPr>
      <w:proofErr w:type="gramStart"/>
      <w:r w:rsidRPr="00AD6272">
        <w:rPr>
          <w:sz w:val="20"/>
          <w:szCs w:val="20"/>
        </w:rPr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</w:t>
      </w:r>
      <w:proofErr w:type="gramEnd"/>
    </w:p>
    <w:sectPr w:rsidR="00C91BDB" w:rsidRPr="00FA7CAD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03" w:rsidRDefault="004A7403">
      <w:r>
        <w:separator/>
      </w:r>
    </w:p>
  </w:endnote>
  <w:endnote w:type="continuationSeparator" w:id="0">
    <w:p w:rsidR="004A7403" w:rsidRDefault="004A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03" w:rsidRDefault="004A7403">
      <w:r>
        <w:separator/>
      </w:r>
    </w:p>
  </w:footnote>
  <w:footnote w:type="continuationSeparator" w:id="0">
    <w:p w:rsidR="004A7403" w:rsidRDefault="004A7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D470FF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B14CE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2A0"/>
    <w:rsid w:val="00117674"/>
    <w:rsid w:val="00121EC2"/>
    <w:rsid w:val="00127744"/>
    <w:rsid w:val="00132F77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1441"/>
    <w:rsid w:val="00193783"/>
    <w:rsid w:val="0019460D"/>
    <w:rsid w:val="00196CB2"/>
    <w:rsid w:val="001971FF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330F"/>
    <w:rsid w:val="00216491"/>
    <w:rsid w:val="00221272"/>
    <w:rsid w:val="0023390C"/>
    <w:rsid w:val="00235287"/>
    <w:rsid w:val="002519FD"/>
    <w:rsid w:val="00252366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6C9F"/>
    <w:rsid w:val="002B7662"/>
    <w:rsid w:val="002C20C7"/>
    <w:rsid w:val="002D0956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5471"/>
    <w:rsid w:val="00307D5C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A70D1"/>
    <w:rsid w:val="003B2BF7"/>
    <w:rsid w:val="003B43F1"/>
    <w:rsid w:val="003B50C2"/>
    <w:rsid w:val="003B7AB1"/>
    <w:rsid w:val="003C2739"/>
    <w:rsid w:val="003C30D6"/>
    <w:rsid w:val="003D2D51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EF0"/>
    <w:rsid w:val="00415057"/>
    <w:rsid w:val="00420B3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974BC"/>
    <w:rsid w:val="004A2D65"/>
    <w:rsid w:val="004A60D6"/>
    <w:rsid w:val="004A698D"/>
    <w:rsid w:val="004A6E7B"/>
    <w:rsid w:val="004A7403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231DD"/>
    <w:rsid w:val="00530C92"/>
    <w:rsid w:val="0053321E"/>
    <w:rsid w:val="005423DA"/>
    <w:rsid w:val="00550A22"/>
    <w:rsid w:val="0055219A"/>
    <w:rsid w:val="00556214"/>
    <w:rsid w:val="0056412E"/>
    <w:rsid w:val="00570C76"/>
    <w:rsid w:val="00575894"/>
    <w:rsid w:val="00575CAE"/>
    <w:rsid w:val="00577619"/>
    <w:rsid w:val="00577743"/>
    <w:rsid w:val="00587827"/>
    <w:rsid w:val="00593C07"/>
    <w:rsid w:val="00594C9D"/>
    <w:rsid w:val="00596BB6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7739"/>
    <w:rsid w:val="006258C4"/>
    <w:rsid w:val="00647FB7"/>
    <w:rsid w:val="00655798"/>
    <w:rsid w:val="006576F7"/>
    <w:rsid w:val="0066199D"/>
    <w:rsid w:val="0066229C"/>
    <w:rsid w:val="006630AF"/>
    <w:rsid w:val="006634E9"/>
    <w:rsid w:val="006657CF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124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3BF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25591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13A2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5D49"/>
    <w:rsid w:val="0099627B"/>
    <w:rsid w:val="00997F1C"/>
    <w:rsid w:val="009A32BE"/>
    <w:rsid w:val="009A4BA6"/>
    <w:rsid w:val="009B64AF"/>
    <w:rsid w:val="009C3725"/>
    <w:rsid w:val="009C5240"/>
    <w:rsid w:val="009D0ED0"/>
    <w:rsid w:val="009D18AB"/>
    <w:rsid w:val="009E5F66"/>
    <w:rsid w:val="009E68A4"/>
    <w:rsid w:val="009E70AF"/>
    <w:rsid w:val="009F0659"/>
    <w:rsid w:val="009F0E8D"/>
    <w:rsid w:val="009F1B36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003D"/>
    <w:rsid w:val="00C74A5B"/>
    <w:rsid w:val="00C76D0D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3110"/>
    <w:rsid w:val="00CB7A28"/>
    <w:rsid w:val="00CD0972"/>
    <w:rsid w:val="00CD3DCD"/>
    <w:rsid w:val="00CE5354"/>
    <w:rsid w:val="00CE7B55"/>
    <w:rsid w:val="00CE7DE3"/>
    <w:rsid w:val="00CF30A0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470FF"/>
    <w:rsid w:val="00D519E4"/>
    <w:rsid w:val="00D530E9"/>
    <w:rsid w:val="00D5402B"/>
    <w:rsid w:val="00D55D0E"/>
    <w:rsid w:val="00D56404"/>
    <w:rsid w:val="00D579D6"/>
    <w:rsid w:val="00D63355"/>
    <w:rsid w:val="00D664F8"/>
    <w:rsid w:val="00D707B8"/>
    <w:rsid w:val="00D70BD3"/>
    <w:rsid w:val="00D74B25"/>
    <w:rsid w:val="00D77792"/>
    <w:rsid w:val="00D91BC4"/>
    <w:rsid w:val="00D94F6A"/>
    <w:rsid w:val="00DA1BC8"/>
    <w:rsid w:val="00DA34C1"/>
    <w:rsid w:val="00DA7AB2"/>
    <w:rsid w:val="00DB18B5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15A2"/>
    <w:rsid w:val="00E466D3"/>
    <w:rsid w:val="00E52FE1"/>
    <w:rsid w:val="00E636AE"/>
    <w:rsid w:val="00E650C4"/>
    <w:rsid w:val="00E65BAA"/>
    <w:rsid w:val="00E70874"/>
    <w:rsid w:val="00E70E1B"/>
    <w:rsid w:val="00E71D0D"/>
    <w:rsid w:val="00E72CAA"/>
    <w:rsid w:val="00E75705"/>
    <w:rsid w:val="00E75A67"/>
    <w:rsid w:val="00E76F9D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1A9C"/>
    <w:rsid w:val="00F55767"/>
    <w:rsid w:val="00F67C41"/>
    <w:rsid w:val="00F83A7B"/>
    <w:rsid w:val="00F87175"/>
    <w:rsid w:val="00F9302D"/>
    <w:rsid w:val="00F9330E"/>
    <w:rsid w:val="00FA06F2"/>
    <w:rsid w:val="00FA7CAD"/>
    <w:rsid w:val="00FB19D5"/>
    <w:rsid w:val="00FC03DD"/>
    <w:rsid w:val="00FC78CD"/>
    <w:rsid w:val="00FE688D"/>
    <w:rsid w:val="00FE78C3"/>
    <w:rsid w:val="00FF27B7"/>
    <w:rsid w:val="00FF283C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9046B-5BA5-4C37-955A-582FC3D7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19</cp:revision>
  <cp:lastPrinted>2021-11-08T05:34:00Z</cp:lastPrinted>
  <dcterms:created xsi:type="dcterms:W3CDTF">2021-11-22T07:00:00Z</dcterms:created>
  <dcterms:modified xsi:type="dcterms:W3CDTF">2021-11-22T10:00:00Z</dcterms:modified>
</cp:coreProperties>
</file>