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</w:tblGrid>
      <w:tr w:rsidR="00697591" w:rsidTr="0013692B">
        <w:trPr>
          <w:trHeight w:val="1910"/>
        </w:trPr>
        <w:tc>
          <w:tcPr>
            <w:tcW w:w="4402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FA1B75" wp14:editId="4CFC286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Pr="00157754" w:rsidRDefault="00C34006" w:rsidP="00C34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  <w:r w:rsidR="0013692B" w:rsidRPr="00976F8A">
              <w:rPr>
                <w:sz w:val="28"/>
                <w:szCs w:val="28"/>
              </w:rPr>
              <w:t xml:space="preserve">2021  № </w:t>
            </w:r>
            <w:r>
              <w:rPr>
                <w:sz w:val="28"/>
                <w:szCs w:val="28"/>
              </w:rPr>
              <w:t>1212-п</w:t>
            </w:r>
          </w:p>
        </w:tc>
      </w:tr>
    </w:tbl>
    <w:p w:rsidR="00157754" w:rsidRDefault="00157754" w:rsidP="00E26D5A">
      <w:pPr>
        <w:pStyle w:val="a9"/>
        <w:jc w:val="both"/>
      </w:pPr>
    </w:p>
    <w:p w:rsidR="0013692B" w:rsidRPr="000E0249" w:rsidRDefault="0013692B" w:rsidP="00E26D5A">
      <w:pPr>
        <w:pStyle w:val="a9"/>
        <w:jc w:val="both"/>
      </w:pPr>
    </w:p>
    <w:p w:rsidR="00AB6E98" w:rsidRPr="00D8772A" w:rsidRDefault="00AB6E98" w:rsidP="00D8772A">
      <w:pPr>
        <w:pStyle w:val="ConsPlusTitle"/>
        <w:ind w:right="3967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D8772A">
        <w:rPr>
          <w:rFonts w:ascii="Times New Roman" w:hAnsi="Times New Roman" w:cs="Times New Roman"/>
          <w:b w:val="0"/>
          <w:sz w:val="28"/>
          <w:szCs w:val="28"/>
        </w:rPr>
        <w:t>Об определении размера вреда, причиняемого транспортными</w:t>
      </w:r>
      <w:r w:rsidR="00D8772A" w:rsidRPr="00D87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772A">
        <w:rPr>
          <w:rFonts w:ascii="Times New Roman" w:hAnsi="Times New Roman" w:cs="Times New Roman"/>
          <w:b w:val="0"/>
          <w:sz w:val="28"/>
          <w:szCs w:val="28"/>
        </w:rPr>
        <w:t>средствами, осуществляющими перевозки тяжеловесных грузов,</w:t>
      </w:r>
      <w:r w:rsidR="00D8772A" w:rsidRPr="00D87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772A">
        <w:rPr>
          <w:rFonts w:ascii="Times New Roman" w:hAnsi="Times New Roman" w:cs="Times New Roman"/>
          <w:b w:val="0"/>
          <w:sz w:val="28"/>
          <w:szCs w:val="28"/>
        </w:rPr>
        <w:t>при движении по автомобильным дорогам общего пользования</w:t>
      </w:r>
      <w:r w:rsidR="00D8772A" w:rsidRPr="00D87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772A">
        <w:rPr>
          <w:rFonts w:ascii="Times New Roman" w:hAnsi="Times New Roman" w:cs="Times New Roman"/>
          <w:b w:val="0"/>
          <w:sz w:val="28"/>
          <w:szCs w:val="28"/>
        </w:rPr>
        <w:t>местного значения в границах муниципального образования Соль-</w:t>
      </w:r>
      <w:proofErr w:type="spellStart"/>
      <w:r w:rsidRPr="00D8772A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D8772A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</w:p>
    <w:p w:rsidR="00A152C2" w:rsidRDefault="00A152C2" w:rsidP="00A152C2">
      <w:pPr>
        <w:ind w:firstLine="709"/>
        <w:jc w:val="both"/>
        <w:rPr>
          <w:sz w:val="28"/>
          <w:szCs w:val="28"/>
        </w:rPr>
      </w:pPr>
    </w:p>
    <w:p w:rsidR="00A152C2" w:rsidRDefault="00A152C2" w:rsidP="00A152C2">
      <w:pPr>
        <w:ind w:firstLine="709"/>
        <w:jc w:val="both"/>
        <w:rPr>
          <w:sz w:val="28"/>
          <w:szCs w:val="28"/>
        </w:rPr>
      </w:pPr>
    </w:p>
    <w:p w:rsidR="00AB6E98" w:rsidRPr="00A152C2" w:rsidRDefault="00AB6E98" w:rsidP="00A152C2">
      <w:pPr>
        <w:ind w:firstLine="709"/>
        <w:jc w:val="both"/>
        <w:rPr>
          <w:sz w:val="28"/>
          <w:szCs w:val="28"/>
        </w:rPr>
      </w:pPr>
      <w:proofErr w:type="gramStart"/>
      <w:r w:rsidRPr="00A152C2">
        <w:rPr>
          <w:sz w:val="28"/>
          <w:szCs w:val="28"/>
        </w:rPr>
        <w:t>В соответствии со</w:t>
      </w:r>
      <w:r w:rsidR="00D8772A" w:rsidRPr="00A152C2">
        <w:rPr>
          <w:sz w:val="28"/>
          <w:szCs w:val="28"/>
        </w:rPr>
        <w:t xml:space="preserve"> статьей</w:t>
      </w:r>
      <w:r w:rsidR="00E877DE">
        <w:rPr>
          <w:sz w:val="28"/>
          <w:szCs w:val="28"/>
        </w:rPr>
        <w:t xml:space="preserve"> 31</w:t>
      </w:r>
      <w:r w:rsidRPr="00A152C2">
        <w:rPr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в Российской Федерации», </w:t>
      </w:r>
      <w:r w:rsidR="008D4458" w:rsidRPr="00A152C2">
        <w:rPr>
          <w:sz w:val="28"/>
          <w:szCs w:val="28"/>
        </w:rPr>
        <w:t>постановления</w:t>
      </w:r>
      <w:r w:rsidRPr="00A152C2">
        <w:rPr>
          <w:sz w:val="28"/>
          <w:szCs w:val="28"/>
        </w:rPr>
        <w:t xml:space="preserve"> Правительства Российской Федерации от 31.01.2020 № 67 «Об утверждении правил возмещения вреда, причиняемого тяжеловесными транспортными средствами</w:t>
      </w:r>
      <w:proofErr w:type="gramEnd"/>
      <w:r w:rsidRPr="00A152C2">
        <w:rPr>
          <w:sz w:val="28"/>
          <w:szCs w:val="28"/>
        </w:rPr>
        <w:t xml:space="preserve">, об изменении и признании </w:t>
      </w:r>
      <w:proofErr w:type="gramStart"/>
      <w:r w:rsidRPr="00A152C2">
        <w:rPr>
          <w:sz w:val="28"/>
          <w:szCs w:val="28"/>
        </w:rPr>
        <w:t>утратившими</w:t>
      </w:r>
      <w:proofErr w:type="gramEnd"/>
      <w:r w:rsidRPr="00A152C2">
        <w:rPr>
          <w:sz w:val="28"/>
          <w:szCs w:val="28"/>
        </w:rPr>
        <w:t xml:space="preserve"> силу некоторых актов Правительства Российской Федерации», постановляю:</w:t>
      </w:r>
    </w:p>
    <w:p w:rsidR="00053164" w:rsidRPr="00A152C2" w:rsidRDefault="00AB6E98" w:rsidP="00A15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C2">
        <w:rPr>
          <w:sz w:val="28"/>
          <w:szCs w:val="28"/>
        </w:rPr>
        <w:t>1.1</w:t>
      </w:r>
      <w:r w:rsidR="00B44F9F">
        <w:rPr>
          <w:sz w:val="28"/>
          <w:szCs w:val="28"/>
        </w:rPr>
        <w:t>.</w:t>
      </w:r>
      <w:r w:rsidR="00662AA8" w:rsidRPr="00A152C2">
        <w:rPr>
          <w:sz w:val="28"/>
          <w:szCs w:val="28"/>
        </w:rPr>
        <w:t xml:space="preserve"> </w:t>
      </w:r>
      <w:r w:rsidR="00053164" w:rsidRPr="00A152C2">
        <w:rPr>
          <w:sz w:val="28"/>
          <w:szCs w:val="28"/>
        </w:rPr>
        <w:t>Установить, что размер вреда, причиняемого тяжеловесными транспортными средствами, при движении по автомобильным дорогам общего пользования местного значения муниципального образования Со</w:t>
      </w:r>
      <w:r w:rsidR="00662AA8" w:rsidRPr="00A152C2">
        <w:rPr>
          <w:sz w:val="28"/>
          <w:szCs w:val="28"/>
        </w:rPr>
        <w:t>ль-</w:t>
      </w:r>
      <w:proofErr w:type="spellStart"/>
      <w:r w:rsidR="00662AA8" w:rsidRPr="00A152C2">
        <w:rPr>
          <w:sz w:val="28"/>
          <w:szCs w:val="28"/>
        </w:rPr>
        <w:t>Илецкий</w:t>
      </w:r>
      <w:proofErr w:type="spellEnd"/>
      <w:r w:rsidR="00662AA8" w:rsidRPr="00A152C2">
        <w:rPr>
          <w:sz w:val="28"/>
          <w:szCs w:val="28"/>
        </w:rPr>
        <w:t xml:space="preserve"> городской</w:t>
      </w:r>
      <w:r w:rsidR="00053164" w:rsidRPr="00A152C2">
        <w:rPr>
          <w:sz w:val="28"/>
          <w:szCs w:val="28"/>
        </w:rPr>
        <w:t xml:space="preserve"> округ определяется в соответствии с показателями согласно приложению.</w:t>
      </w:r>
    </w:p>
    <w:p w:rsidR="00053164" w:rsidRPr="00A152C2" w:rsidRDefault="00053164" w:rsidP="00A152C2">
      <w:pPr>
        <w:ind w:firstLine="709"/>
        <w:jc w:val="both"/>
        <w:rPr>
          <w:sz w:val="28"/>
          <w:szCs w:val="28"/>
        </w:rPr>
      </w:pPr>
      <w:r w:rsidRPr="00A152C2">
        <w:rPr>
          <w:sz w:val="28"/>
          <w:szCs w:val="28"/>
        </w:rPr>
        <w:t>1.2</w:t>
      </w:r>
      <w:r w:rsidR="00B44F9F">
        <w:rPr>
          <w:sz w:val="28"/>
          <w:szCs w:val="28"/>
        </w:rPr>
        <w:t>.</w:t>
      </w:r>
      <w:r w:rsidRPr="00A152C2">
        <w:rPr>
          <w:sz w:val="28"/>
          <w:szCs w:val="28"/>
        </w:rPr>
        <w:t xml:space="preserve">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053164" w:rsidRPr="00A152C2" w:rsidRDefault="00053164" w:rsidP="00A152C2">
      <w:pPr>
        <w:ind w:firstLine="709"/>
        <w:jc w:val="both"/>
        <w:rPr>
          <w:sz w:val="28"/>
          <w:szCs w:val="28"/>
        </w:rPr>
      </w:pPr>
      <w:r w:rsidRPr="00A152C2">
        <w:rPr>
          <w:sz w:val="28"/>
          <w:szCs w:val="28"/>
        </w:rPr>
        <w:t>1.3</w:t>
      </w:r>
      <w:r w:rsidR="00B44F9F">
        <w:rPr>
          <w:sz w:val="28"/>
          <w:szCs w:val="28"/>
        </w:rPr>
        <w:t>.</w:t>
      </w:r>
      <w:r w:rsidRPr="00A152C2">
        <w:rPr>
          <w:sz w:val="28"/>
          <w:szCs w:val="28"/>
        </w:rPr>
        <w:t xml:space="preserve"> Средства, полученные в качестве платежей в счет возмещения вреда, подлежит зачислению в доход федерального бюджета, или в доход бюджета субъекта Российской Федерации, или в доход местных бюджетов, </w:t>
      </w:r>
      <w:r w:rsidRPr="00A152C2">
        <w:rPr>
          <w:sz w:val="28"/>
          <w:szCs w:val="28"/>
        </w:rPr>
        <w:lastRenderedPageBreak/>
        <w:t>или в доход собственника частных автомобильных дорог, если иное не установлено законодательством Российской Федерации.</w:t>
      </w:r>
    </w:p>
    <w:p w:rsidR="00053164" w:rsidRPr="00A152C2" w:rsidRDefault="00662AA8" w:rsidP="00A15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C2">
        <w:rPr>
          <w:sz w:val="28"/>
          <w:szCs w:val="28"/>
        </w:rPr>
        <w:t>2.</w:t>
      </w:r>
      <w:r w:rsidR="00A152C2">
        <w:rPr>
          <w:sz w:val="28"/>
          <w:szCs w:val="28"/>
        </w:rPr>
        <w:t xml:space="preserve"> </w:t>
      </w:r>
      <w:r w:rsidR="00053164" w:rsidRPr="00A152C2">
        <w:rPr>
          <w:sz w:val="28"/>
          <w:szCs w:val="28"/>
        </w:rPr>
        <w:t>Осуществлять возмещение вреда, причиняемого тяжеловесными транспортными средствами автомобильным дорогам, в соответствии с Постановлением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</w:p>
    <w:p w:rsidR="00AB6E98" w:rsidRPr="00A152C2" w:rsidRDefault="00662AA8" w:rsidP="00A152C2">
      <w:pPr>
        <w:ind w:firstLine="709"/>
        <w:jc w:val="both"/>
        <w:rPr>
          <w:sz w:val="28"/>
          <w:szCs w:val="28"/>
        </w:rPr>
      </w:pPr>
      <w:r w:rsidRPr="00A152C2">
        <w:rPr>
          <w:sz w:val="28"/>
          <w:szCs w:val="28"/>
        </w:rPr>
        <w:t>3</w:t>
      </w:r>
      <w:r w:rsidR="00AB6E98" w:rsidRPr="00A152C2">
        <w:rPr>
          <w:sz w:val="28"/>
          <w:szCs w:val="28"/>
        </w:rPr>
        <w:t xml:space="preserve">. Контроль за исполнением данного постановления </w:t>
      </w:r>
      <w:r w:rsidR="00797749" w:rsidRPr="00A152C2">
        <w:rPr>
          <w:sz w:val="28"/>
          <w:szCs w:val="28"/>
        </w:rPr>
        <w:t>оставляю за собой.</w:t>
      </w:r>
    </w:p>
    <w:p w:rsidR="00AB6E98" w:rsidRPr="00A152C2" w:rsidRDefault="00662AA8" w:rsidP="00A152C2">
      <w:pPr>
        <w:ind w:firstLine="709"/>
        <w:jc w:val="both"/>
        <w:rPr>
          <w:sz w:val="28"/>
          <w:szCs w:val="28"/>
        </w:rPr>
      </w:pPr>
      <w:r w:rsidRPr="00A152C2">
        <w:rPr>
          <w:sz w:val="28"/>
          <w:szCs w:val="28"/>
        </w:rPr>
        <w:t>4</w:t>
      </w:r>
      <w:r w:rsidR="00AB6E98" w:rsidRPr="00A152C2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78705C" w:rsidRDefault="0078705C" w:rsidP="0078705C">
      <w:pPr>
        <w:jc w:val="both"/>
        <w:rPr>
          <w:sz w:val="28"/>
          <w:szCs w:val="28"/>
        </w:rPr>
      </w:pPr>
    </w:p>
    <w:p w:rsidR="0078705C" w:rsidRDefault="0078705C" w:rsidP="0078705C">
      <w:pPr>
        <w:pStyle w:val="ConsPlusNormal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841045" w:rsidRDefault="00841045" w:rsidP="0078705C">
      <w:pPr>
        <w:pStyle w:val="ConsPlusNormal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841045" w:rsidRPr="00841045" w:rsidRDefault="00841045" w:rsidP="00841045">
      <w:pPr>
        <w:widowControl w:val="0"/>
        <w:tabs>
          <w:tab w:val="left" w:pos="7530"/>
        </w:tabs>
        <w:rPr>
          <w:rFonts w:eastAsiaTheme="minorEastAsia"/>
          <w:sz w:val="28"/>
          <w:szCs w:val="28"/>
        </w:rPr>
      </w:pPr>
      <w:r w:rsidRPr="00841045">
        <w:rPr>
          <w:rFonts w:eastAsiaTheme="minorEastAsia"/>
          <w:sz w:val="28"/>
          <w:szCs w:val="28"/>
        </w:rPr>
        <w:t>Первый заместитель главы администрации</w:t>
      </w:r>
    </w:p>
    <w:p w:rsidR="00841045" w:rsidRPr="00841045" w:rsidRDefault="00841045" w:rsidP="00841045">
      <w:pPr>
        <w:widowControl w:val="0"/>
        <w:tabs>
          <w:tab w:val="left" w:pos="7530"/>
        </w:tabs>
        <w:rPr>
          <w:rFonts w:eastAsiaTheme="minorEastAsia"/>
          <w:sz w:val="28"/>
          <w:szCs w:val="28"/>
        </w:rPr>
      </w:pPr>
      <w:r w:rsidRPr="00841045">
        <w:rPr>
          <w:rFonts w:eastAsiaTheme="minorEastAsia"/>
          <w:sz w:val="28"/>
          <w:szCs w:val="28"/>
        </w:rPr>
        <w:t>городского округа – заместитель главы</w:t>
      </w:r>
    </w:p>
    <w:p w:rsidR="00841045" w:rsidRPr="00841045" w:rsidRDefault="00841045" w:rsidP="00841045">
      <w:pPr>
        <w:widowControl w:val="0"/>
        <w:tabs>
          <w:tab w:val="left" w:pos="7530"/>
        </w:tabs>
        <w:rPr>
          <w:rFonts w:eastAsiaTheme="minorEastAsia"/>
          <w:sz w:val="28"/>
          <w:szCs w:val="28"/>
        </w:rPr>
      </w:pPr>
      <w:r w:rsidRPr="00841045">
        <w:rPr>
          <w:rFonts w:eastAsiaTheme="minorEastAsia"/>
          <w:sz w:val="28"/>
          <w:szCs w:val="28"/>
        </w:rPr>
        <w:t>администрации городского округа</w:t>
      </w:r>
    </w:p>
    <w:p w:rsidR="00841045" w:rsidRPr="00841045" w:rsidRDefault="00841045" w:rsidP="00841045">
      <w:pPr>
        <w:widowControl w:val="0"/>
        <w:tabs>
          <w:tab w:val="left" w:pos="7530"/>
        </w:tabs>
        <w:rPr>
          <w:rFonts w:eastAsiaTheme="minorEastAsia"/>
          <w:sz w:val="28"/>
          <w:szCs w:val="28"/>
        </w:rPr>
      </w:pPr>
      <w:r w:rsidRPr="00841045">
        <w:rPr>
          <w:rFonts w:eastAsiaTheme="minorEastAsia"/>
          <w:sz w:val="28"/>
          <w:szCs w:val="28"/>
        </w:rPr>
        <w:t>по строительству, транспорту,</w:t>
      </w:r>
    </w:p>
    <w:p w:rsidR="00841045" w:rsidRPr="00841045" w:rsidRDefault="00841045" w:rsidP="00841045">
      <w:pPr>
        <w:pStyle w:val="ConsPlusNormal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 w:rsidRPr="00841045">
        <w:rPr>
          <w:rFonts w:ascii="Times New Roman" w:eastAsiaTheme="minorEastAsia" w:hAnsi="Times New Roman" w:cs="Times New Roman"/>
          <w:sz w:val="28"/>
          <w:szCs w:val="28"/>
        </w:rPr>
        <w:t xml:space="preserve">благоустройству и ЖКХ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Pr="00841045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Pr="00841045">
        <w:rPr>
          <w:rFonts w:ascii="Times New Roman" w:hAnsi="Times New Roman" w:cs="Times New Roman"/>
          <w:sz w:val="28"/>
          <w:szCs w:val="28"/>
        </w:rPr>
        <w:t>А.Р. Хафизов</w:t>
      </w:r>
    </w:p>
    <w:p w:rsidR="0078705C" w:rsidRPr="00127744" w:rsidRDefault="0078705C" w:rsidP="0078705C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C01F80" w:rsidRDefault="00C01F80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662AA8" w:rsidRDefault="00662AA8" w:rsidP="0078705C">
      <w:pPr>
        <w:rPr>
          <w:sz w:val="20"/>
          <w:szCs w:val="20"/>
        </w:rPr>
      </w:pPr>
    </w:p>
    <w:p w:rsidR="00C21CE0" w:rsidRDefault="00C21CE0" w:rsidP="0078705C">
      <w:pPr>
        <w:rPr>
          <w:sz w:val="20"/>
          <w:szCs w:val="20"/>
        </w:rPr>
      </w:pPr>
    </w:p>
    <w:p w:rsidR="00C21CE0" w:rsidRDefault="00C21CE0" w:rsidP="0078705C">
      <w:pPr>
        <w:rPr>
          <w:sz w:val="20"/>
          <w:szCs w:val="20"/>
        </w:rPr>
      </w:pPr>
    </w:p>
    <w:p w:rsidR="00C21CE0" w:rsidRDefault="00C21CE0" w:rsidP="0078705C">
      <w:pPr>
        <w:rPr>
          <w:sz w:val="20"/>
          <w:szCs w:val="20"/>
        </w:rPr>
      </w:pPr>
    </w:p>
    <w:p w:rsidR="00C21CE0" w:rsidRDefault="00C21CE0" w:rsidP="0078705C">
      <w:pPr>
        <w:rPr>
          <w:sz w:val="20"/>
          <w:szCs w:val="20"/>
        </w:rPr>
      </w:pPr>
    </w:p>
    <w:p w:rsidR="00C21CE0" w:rsidRDefault="00C21CE0" w:rsidP="0078705C">
      <w:pPr>
        <w:rPr>
          <w:sz w:val="20"/>
          <w:szCs w:val="20"/>
        </w:rPr>
      </w:pPr>
    </w:p>
    <w:p w:rsidR="00C21CE0" w:rsidRDefault="00C21CE0" w:rsidP="0078705C">
      <w:pPr>
        <w:rPr>
          <w:sz w:val="20"/>
          <w:szCs w:val="20"/>
        </w:rPr>
      </w:pPr>
    </w:p>
    <w:p w:rsidR="00C21CE0" w:rsidRDefault="00C21CE0" w:rsidP="0078705C">
      <w:pPr>
        <w:rPr>
          <w:sz w:val="20"/>
          <w:szCs w:val="20"/>
        </w:rPr>
      </w:pPr>
    </w:p>
    <w:p w:rsidR="00C21CE0" w:rsidRDefault="00C21CE0" w:rsidP="0078705C">
      <w:pPr>
        <w:rPr>
          <w:sz w:val="20"/>
          <w:szCs w:val="20"/>
        </w:rPr>
      </w:pPr>
    </w:p>
    <w:p w:rsidR="00C21CE0" w:rsidRDefault="00C21CE0" w:rsidP="0078705C">
      <w:pPr>
        <w:rPr>
          <w:sz w:val="20"/>
          <w:szCs w:val="20"/>
        </w:rPr>
      </w:pPr>
    </w:p>
    <w:p w:rsidR="00C21CE0" w:rsidRDefault="00C21CE0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C21CE0">
      <w:pPr>
        <w:jc w:val="both"/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662AA8" w:rsidRDefault="00662AA8" w:rsidP="00662AA8">
      <w:pPr>
        <w:pStyle w:val="ConsPlusNormal"/>
        <w:jc w:val="both"/>
      </w:pPr>
    </w:p>
    <w:p w:rsidR="0013692B" w:rsidRPr="0064382A" w:rsidRDefault="0013692B" w:rsidP="00441C4E">
      <w:pPr>
        <w:ind w:left="5103"/>
        <w:jc w:val="both"/>
        <w:rPr>
          <w:sz w:val="28"/>
          <w:szCs w:val="28"/>
        </w:rPr>
      </w:pPr>
      <w:r w:rsidRPr="0064382A">
        <w:rPr>
          <w:sz w:val="28"/>
          <w:szCs w:val="28"/>
        </w:rPr>
        <w:lastRenderedPageBreak/>
        <w:t>Приложение</w:t>
      </w:r>
    </w:p>
    <w:p w:rsidR="00441C4E" w:rsidRDefault="0013692B" w:rsidP="00441C4E">
      <w:pPr>
        <w:ind w:left="5103"/>
        <w:jc w:val="both"/>
        <w:rPr>
          <w:sz w:val="28"/>
          <w:szCs w:val="28"/>
        </w:rPr>
      </w:pPr>
      <w:r w:rsidRPr="0064382A">
        <w:rPr>
          <w:sz w:val="28"/>
          <w:szCs w:val="28"/>
        </w:rPr>
        <w:t>к постановлению</w:t>
      </w:r>
      <w:r w:rsidR="00441C4E">
        <w:rPr>
          <w:sz w:val="28"/>
          <w:szCs w:val="28"/>
        </w:rPr>
        <w:t xml:space="preserve"> </w:t>
      </w:r>
      <w:r w:rsidRPr="0064382A">
        <w:rPr>
          <w:sz w:val="28"/>
          <w:szCs w:val="28"/>
        </w:rPr>
        <w:t>администрации</w:t>
      </w:r>
    </w:p>
    <w:p w:rsidR="0013692B" w:rsidRPr="0064382A" w:rsidRDefault="0013692B" w:rsidP="00441C4E">
      <w:pPr>
        <w:ind w:left="5103"/>
        <w:jc w:val="both"/>
        <w:rPr>
          <w:sz w:val="28"/>
          <w:szCs w:val="28"/>
        </w:rPr>
      </w:pPr>
      <w:r w:rsidRPr="0064382A">
        <w:rPr>
          <w:sz w:val="28"/>
          <w:szCs w:val="28"/>
        </w:rPr>
        <w:t>Соль-</w:t>
      </w:r>
      <w:proofErr w:type="spellStart"/>
      <w:r w:rsidRPr="0064382A">
        <w:rPr>
          <w:sz w:val="28"/>
          <w:szCs w:val="28"/>
        </w:rPr>
        <w:t>Илецкого</w:t>
      </w:r>
      <w:proofErr w:type="spellEnd"/>
      <w:r w:rsidR="00441C4E">
        <w:rPr>
          <w:sz w:val="28"/>
          <w:szCs w:val="28"/>
        </w:rPr>
        <w:t xml:space="preserve"> </w:t>
      </w:r>
      <w:r w:rsidRPr="0064382A">
        <w:rPr>
          <w:sz w:val="28"/>
          <w:szCs w:val="28"/>
        </w:rPr>
        <w:t>городского округа</w:t>
      </w:r>
    </w:p>
    <w:p w:rsidR="0013692B" w:rsidRDefault="0013692B" w:rsidP="00441C4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4006">
        <w:rPr>
          <w:sz w:val="28"/>
          <w:szCs w:val="28"/>
        </w:rPr>
        <w:t>28.05.</w:t>
      </w:r>
      <w:r>
        <w:rPr>
          <w:sz w:val="28"/>
          <w:szCs w:val="28"/>
        </w:rPr>
        <w:t xml:space="preserve">2021 </w:t>
      </w:r>
      <w:r w:rsidRPr="0064382A">
        <w:rPr>
          <w:sz w:val="28"/>
          <w:szCs w:val="28"/>
        </w:rPr>
        <w:t xml:space="preserve">№ </w:t>
      </w:r>
      <w:r w:rsidR="00C34006">
        <w:rPr>
          <w:sz w:val="28"/>
          <w:szCs w:val="28"/>
        </w:rPr>
        <w:t>1212-п</w:t>
      </w:r>
    </w:p>
    <w:p w:rsidR="00672546" w:rsidRDefault="00672546" w:rsidP="00662AA8">
      <w:pPr>
        <w:pStyle w:val="ConsPlusTitle"/>
        <w:jc w:val="center"/>
        <w:rPr>
          <w:rFonts w:ascii="Times New Roman" w:hAnsi="Times New Roman" w:cs="Times New Roman"/>
        </w:rPr>
      </w:pPr>
      <w:bookmarkStart w:id="0" w:name="P44"/>
      <w:bookmarkEnd w:id="0"/>
    </w:p>
    <w:p w:rsidR="000C2E7C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Показатели</w:t>
      </w:r>
      <w:r w:rsidR="000C2E7C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размера вреда,</w:t>
      </w:r>
    </w:p>
    <w:p w:rsidR="00662AA8" w:rsidRPr="00662AA8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62AA8">
        <w:rPr>
          <w:rFonts w:ascii="Times New Roman" w:hAnsi="Times New Roman" w:cs="Times New Roman"/>
        </w:rPr>
        <w:t>причиняемого</w:t>
      </w:r>
      <w:proofErr w:type="gramEnd"/>
      <w:r w:rsidRPr="00662AA8">
        <w:rPr>
          <w:rFonts w:ascii="Times New Roman" w:hAnsi="Times New Roman" w:cs="Times New Roman"/>
        </w:rPr>
        <w:t xml:space="preserve"> тяжеловесными</w:t>
      </w:r>
      <w:r w:rsidR="000C2E7C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транспортными средствами при движении</w:t>
      </w:r>
    </w:p>
    <w:p w:rsidR="000C2E7C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по автомобильным дорогам общего пользования</w:t>
      </w:r>
      <w:r w:rsidR="000C2E7C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местного значения</w:t>
      </w:r>
    </w:p>
    <w:p w:rsidR="00662AA8" w:rsidRPr="00662AA8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муниципального образования</w:t>
      </w:r>
      <w:r w:rsidR="000C2E7C">
        <w:rPr>
          <w:rFonts w:ascii="Times New Roman" w:hAnsi="Times New Roman" w:cs="Times New Roman"/>
        </w:rPr>
        <w:t xml:space="preserve"> </w:t>
      </w:r>
      <w:r w:rsidR="0092089D">
        <w:rPr>
          <w:rFonts w:ascii="Times New Roman" w:hAnsi="Times New Roman" w:cs="Times New Roman"/>
        </w:rPr>
        <w:t>Соль-</w:t>
      </w:r>
      <w:proofErr w:type="spellStart"/>
      <w:r w:rsidR="0092089D">
        <w:rPr>
          <w:rFonts w:ascii="Times New Roman" w:hAnsi="Times New Roman" w:cs="Times New Roman"/>
        </w:rPr>
        <w:t>Илецкий</w:t>
      </w:r>
      <w:proofErr w:type="spellEnd"/>
      <w:r w:rsidRPr="00662AA8">
        <w:rPr>
          <w:rFonts w:ascii="Times New Roman" w:hAnsi="Times New Roman" w:cs="Times New Roman"/>
        </w:rPr>
        <w:t xml:space="preserve"> городской округ</w:t>
      </w:r>
    </w:p>
    <w:p w:rsidR="00672546" w:rsidRDefault="00672546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62AA8" w:rsidRPr="00662AA8" w:rsidRDefault="00662AA8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Таблица 1</w:t>
      </w:r>
    </w:p>
    <w:p w:rsidR="00672546" w:rsidRDefault="00672546" w:rsidP="00662AA8">
      <w:pPr>
        <w:pStyle w:val="ConsPlusTitle"/>
        <w:jc w:val="center"/>
        <w:rPr>
          <w:rFonts w:ascii="Times New Roman" w:hAnsi="Times New Roman" w:cs="Times New Roman"/>
        </w:rPr>
      </w:pPr>
    </w:p>
    <w:p w:rsidR="000C2E7C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Размер вреда,</w:t>
      </w:r>
    </w:p>
    <w:p w:rsidR="00662AA8" w:rsidRPr="00662AA8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62AA8">
        <w:rPr>
          <w:rFonts w:ascii="Times New Roman" w:hAnsi="Times New Roman" w:cs="Times New Roman"/>
        </w:rPr>
        <w:t>причиняемого</w:t>
      </w:r>
      <w:proofErr w:type="gramEnd"/>
      <w:r w:rsidRPr="00662AA8">
        <w:rPr>
          <w:rFonts w:ascii="Times New Roman" w:hAnsi="Times New Roman" w:cs="Times New Roman"/>
        </w:rPr>
        <w:t xml:space="preserve"> тяжеловесными</w:t>
      </w:r>
      <w:r w:rsidR="000C2E7C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транспортными средствами, при движении</w:t>
      </w:r>
    </w:p>
    <w:p w:rsidR="00662AA8" w:rsidRPr="00662AA8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таких транспортных средств по автомобильным дорогам</w:t>
      </w:r>
      <w:r w:rsidR="000C2E7C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общего пользования местного значения, рассчитанным</w:t>
      </w:r>
      <w:r w:rsidR="000C2E7C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под осевую нагрузку 6 т, от превышения допустимых</w:t>
      </w:r>
    </w:p>
    <w:p w:rsidR="00662AA8" w:rsidRDefault="00662AA8" w:rsidP="00672546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нагрузок на каждую ось транспортного средства</w:t>
      </w:r>
    </w:p>
    <w:p w:rsidR="00672546" w:rsidRPr="00662AA8" w:rsidRDefault="00672546" w:rsidP="00672546">
      <w:pPr>
        <w:pStyle w:val="ConsPlusTitle"/>
        <w:jc w:val="center"/>
        <w:rPr>
          <w:rFonts w:ascii="Times New Roman" w:hAnsi="Times New Roman" w:cs="Times New Roman"/>
        </w:rPr>
      </w:pPr>
    </w:p>
    <w:p w:rsidR="00662AA8" w:rsidRPr="00662AA8" w:rsidRDefault="00662AA8" w:rsidP="00662AA8">
      <w:pPr>
        <w:pStyle w:val="ConsPlusNormal"/>
        <w:jc w:val="right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(рублей на 100 км)</w:t>
      </w:r>
    </w:p>
    <w:p w:rsidR="00662AA8" w:rsidRPr="00662AA8" w:rsidRDefault="00662AA8" w:rsidP="00662AA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662AA8">
              <w:rPr>
                <w:rFonts w:ascii="Times New Roman" w:hAnsi="Times New Roman" w:cs="Times New Roman"/>
              </w:rPr>
              <w:t>допустимыми</w:t>
            </w:r>
            <w:proofErr w:type="gramEnd"/>
          </w:p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Размер вреда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5002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свыше 10 до 20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5925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свыше 20 до 30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7403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свыше 30 до 40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9419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свыше 40 до 50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11959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свыше 50 до 60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15013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свыше 60 до 70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18576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свыше 70 до 80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22640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свыше 80 до 90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27200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свыше 90 до 100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32251</w:t>
            </w:r>
          </w:p>
        </w:tc>
      </w:tr>
    </w:tbl>
    <w:p w:rsidR="00672546" w:rsidRDefault="00672546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328A" w:rsidRDefault="00A0328A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328A" w:rsidRDefault="00A0328A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328A" w:rsidRDefault="00A0328A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328A" w:rsidRDefault="00A0328A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328A" w:rsidRDefault="00A0328A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328A" w:rsidRDefault="00A0328A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328A" w:rsidRDefault="00A0328A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316D" w:rsidRDefault="0058316D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328A" w:rsidRDefault="00A0328A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328A" w:rsidRDefault="00A0328A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328A" w:rsidRDefault="00A0328A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841" w:rsidRDefault="00E74841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0CCD" w:rsidRDefault="007C0CCD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6F26" w:rsidRDefault="00662AA8" w:rsidP="00986F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lastRenderedPageBreak/>
        <w:t>Таблица 2</w:t>
      </w:r>
    </w:p>
    <w:p w:rsidR="00672546" w:rsidRDefault="00672546" w:rsidP="00662AA8">
      <w:pPr>
        <w:pStyle w:val="ConsPlusTitle"/>
        <w:jc w:val="center"/>
        <w:rPr>
          <w:rFonts w:ascii="Times New Roman" w:hAnsi="Times New Roman" w:cs="Times New Roman"/>
        </w:rPr>
      </w:pPr>
    </w:p>
    <w:p w:rsidR="0058316D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Размер вреда,</w:t>
      </w:r>
    </w:p>
    <w:p w:rsidR="00662AA8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причиняемого тяжеловесными</w:t>
      </w:r>
      <w:r w:rsidR="0058316D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транспортными средствами, при движении</w:t>
      </w:r>
      <w:r w:rsidR="0058316D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таких транспортных средств по автомобильным дорогам</w:t>
      </w:r>
      <w:r w:rsidR="0058316D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общего пользования местного значения, рассчитанным</w:t>
      </w:r>
      <w:r w:rsidR="0058316D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под осевую нагрузку 10 т, от превышения допустимых</w:t>
      </w:r>
      <w:r w:rsidR="0058316D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нагрузок на каждую ось транспортного средства</w:t>
      </w:r>
    </w:p>
    <w:p w:rsidR="003738E8" w:rsidRPr="00662AA8" w:rsidRDefault="003738E8" w:rsidP="00662AA8">
      <w:pPr>
        <w:pStyle w:val="ConsPlusTitle"/>
        <w:jc w:val="center"/>
        <w:rPr>
          <w:rFonts w:ascii="Times New Roman" w:hAnsi="Times New Roman" w:cs="Times New Roman"/>
        </w:rPr>
      </w:pPr>
    </w:p>
    <w:p w:rsidR="00662AA8" w:rsidRPr="00662AA8" w:rsidRDefault="00662AA8" w:rsidP="00662AA8">
      <w:pPr>
        <w:pStyle w:val="ConsPlusNormal"/>
        <w:jc w:val="right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(рублей на 100 км)</w:t>
      </w:r>
    </w:p>
    <w:p w:rsidR="00662AA8" w:rsidRPr="00662AA8" w:rsidRDefault="00662AA8" w:rsidP="00662AA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662AA8">
              <w:rPr>
                <w:rFonts w:ascii="Times New Roman" w:hAnsi="Times New Roman" w:cs="Times New Roman"/>
              </w:rPr>
              <w:t>допустимыми</w:t>
            </w:r>
            <w:proofErr w:type="gramEnd"/>
          </w:p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Размер вреда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1024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1038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1059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1084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1115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1151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1191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1237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1288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1344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1404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1469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1539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1614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1694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1778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1867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1961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2059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2162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2270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2382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2499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lastRenderedPageBreak/>
              <w:t>от 25 (включительно) до 26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2620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2746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2876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3011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3150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3294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3443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3595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3753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3914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4081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4251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4426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4606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4789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4978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5170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5367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5569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5774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5984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6199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6417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6640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6868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7099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7335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7576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7820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8069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8322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lastRenderedPageBreak/>
              <w:t>от 56 (включительно) до 57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8579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8841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9107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9377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4535" w:type="dxa"/>
          </w:tcPr>
          <w:p w:rsidR="00662AA8" w:rsidRPr="00662AA8" w:rsidRDefault="00662AA8" w:rsidP="00A03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AA8">
              <w:rPr>
                <w:rFonts w:ascii="Times New Roman" w:hAnsi="Times New Roman" w:cs="Times New Roman"/>
              </w:rPr>
              <w:t>рассчитывается по формулам, приведенным в</w:t>
            </w:r>
            <w:r w:rsidR="003738E8">
              <w:rPr>
                <w:rFonts w:ascii="Times New Roman" w:hAnsi="Times New Roman" w:cs="Times New Roman"/>
              </w:rPr>
              <w:t xml:space="preserve"> методике</w:t>
            </w:r>
            <w:r w:rsidRPr="00662AA8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</w:t>
            </w:r>
            <w:proofErr w:type="gramEnd"/>
          </w:p>
        </w:tc>
      </w:tr>
    </w:tbl>
    <w:p w:rsidR="00A0328A" w:rsidRDefault="00A0328A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328A" w:rsidRDefault="00A0328A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328A" w:rsidRDefault="00A0328A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62AA8" w:rsidRPr="00662AA8" w:rsidRDefault="00662AA8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Таблица 3</w:t>
      </w:r>
    </w:p>
    <w:p w:rsidR="00A0328A" w:rsidRDefault="00A0328A" w:rsidP="00662AA8">
      <w:pPr>
        <w:pStyle w:val="ConsPlusTitle"/>
        <w:jc w:val="center"/>
        <w:rPr>
          <w:rFonts w:ascii="Times New Roman" w:hAnsi="Times New Roman" w:cs="Times New Roman"/>
        </w:rPr>
      </w:pPr>
    </w:p>
    <w:p w:rsidR="00684968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Размер вреда,</w:t>
      </w:r>
    </w:p>
    <w:p w:rsidR="00684968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62AA8">
        <w:rPr>
          <w:rFonts w:ascii="Times New Roman" w:hAnsi="Times New Roman" w:cs="Times New Roman"/>
        </w:rPr>
        <w:t>причиняемого тяжеловесными</w:t>
      </w:r>
      <w:r w:rsidR="00684968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транспортными средствами, при движении</w:t>
      </w:r>
      <w:r w:rsidR="00684968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таких транспортных средств по автомобильным дорогам</w:t>
      </w:r>
      <w:r w:rsidR="00684968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общего пользования местного значения, рассчитанным</w:t>
      </w:r>
      <w:r w:rsidR="00684968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под осевую нагрузку 11,5 т, от превышения допустимых</w:t>
      </w:r>
      <w:r w:rsidR="00684968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осевых нагрузок</w:t>
      </w:r>
      <w:proofErr w:type="gramEnd"/>
    </w:p>
    <w:p w:rsidR="00662AA8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на ось транспортного средства</w:t>
      </w:r>
    </w:p>
    <w:p w:rsidR="00A0328A" w:rsidRPr="00662AA8" w:rsidRDefault="00A0328A" w:rsidP="00662AA8">
      <w:pPr>
        <w:pStyle w:val="ConsPlusTitle"/>
        <w:jc w:val="center"/>
        <w:rPr>
          <w:rFonts w:ascii="Times New Roman" w:hAnsi="Times New Roman" w:cs="Times New Roman"/>
        </w:rPr>
      </w:pPr>
    </w:p>
    <w:p w:rsidR="00662AA8" w:rsidRPr="00662AA8" w:rsidRDefault="00662AA8" w:rsidP="00662AA8">
      <w:pPr>
        <w:pStyle w:val="ConsPlusNormal"/>
        <w:jc w:val="right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(рублей на 100 км)</w:t>
      </w:r>
    </w:p>
    <w:p w:rsidR="00662AA8" w:rsidRPr="00662AA8" w:rsidRDefault="00662AA8" w:rsidP="00662AA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662AA8">
              <w:rPr>
                <w:rFonts w:ascii="Times New Roman" w:hAnsi="Times New Roman" w:cs="Times New Roman"/>
              </w:rPr>
              <w:t>допустимыми</w:t>
            </w:r>
            <w:proofErr w:type="gramEnd"/>
          </w:p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Размер вреда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466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470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477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485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495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506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519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534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550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568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587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608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lastRenderedPageBreak/>
              <w:t>от 14 (включительно) до 15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631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655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680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707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736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766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797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830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865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900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938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977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1017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1059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1102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1147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1193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1240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1289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1339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1391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1444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1499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1555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1613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1671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1732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1793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1856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1921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1987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lastRenderedPageBreak/>
              <w:t>от 45 (включительно) до 46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2054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2123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2193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2264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2337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2411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2487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2564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2642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2722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2803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2885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2969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3054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3140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4535" w:type="dxa"/>
          </w:tcPr>
          <w:p w:rsidR="00662AA8" w:rsidRPr="00662AA8" w:rsidRDefault="00662AA8" w:rsidP="00A03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AA8">
              <w:rPr>
                <w:rFonts w:ascii="Times New Roman" w:hAnsi="Times New Roman" w:cs="Times New Roman"/>
              </w:rPr>
              <w:t>рассчитывается по формулам, приведенным в</w:t>
            </w:r>
            <w:r w:rsidR="00A0328A">
              <w:rPr>
                <w:rFonts w:ascii="Times New Roman" w:hAnsi="Times New Roman" w:cs="Times New Roman"/>
              </w:rPr>
              <w:t xml:space="preserve"> методике</w:t>
            </w:r>
            <w:r w:rsidRPr="00662AA8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</w:t>
            </w:r>
            <w:proofErr w:type="gramEnd"/>
          </w:p>
        </w:tc>
      </w:tr>
    </w:tbl>
    <w:p w:rsidR="00583881" w:rsidRDefault="00583881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31896" w:rsidRDefault="00531896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31896" w:rsidRDefault="00531896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62AA8" w:rsidRPr="00662AA8" w:rsidRDefault="00662AA8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Таблица 4</w:t>
      </w:r>
    </w:p>
    <w:p w:rsidR="00583881" w:rsidRDefault="00583881" w:rsidP="00662AA8">
      <w:pPr>
        <w:pStyle w:val="ConsPlusTitle"/>
        <w:jc w:val="center"/>
        <w:rPr>
          <w:rFonts w:ascii="Times New Roman" w:hAnsi="Times New Roman" w:cs="Times New Roman"/>
        </w:rPr>
      </w:pPr>
    </w:p>
    <w:p w:rsidR="00E74841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Размер вреда,</w:t>
      </w:r>
    </w:p>
    <w:p w:rsidR="00662AA8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причиняемого тяжеловесными</w:t>
      </w:r>
      <w:r w:rsidR="00E74841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транспортными средствами, при движении</w:t>
      </w:r>
      <w:r w:rsidR="00E74841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таких транспортных средств по автомобильным дорогам</w:t>
      </w:r>
      <w:r w:rsidR="00E74841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общего пользования местного значения, от превышения</w:t>
      </w:r>
      <w:r w:rsidR="00E74841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допустимой для автомобильной дороги массы</w:t>
      </w:r>
      <w:r w:rsidR="00E74841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транспортного средства</w:t>
      </w:r>
    </w:p>
    <w:p w:rsidR="00583881" w:rsidRPr="00662AA8" w:rsidRDefault="00583881" w:rsidP="00662AA8">
      <w:pPr>
        <w:pStyle w:val="ConsPlusTitle"/>
        <w:jc w:val="center"/>
        <w:rPr>
          <w:rFonts w:ascii="Times New Roman" w:hAnsi="Times New Roman" w:cs="Times New Roman"/>
        </w:rPr>
      </w:pPr>
    </w:p>
    <w:p w:rsidR="00662AA8" w:rsidRPr="00662AA8" w:rsidRDefault="00662AA8" w:rsidP="00662AA8">
      <w:pPr>
        <w:pStyle w:val="ConsPlusNormal"/>
        <w:jc w:val="right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(рублей на 100 км)</w:t>
      </w:r>
    </w:p>
    <w:p w:rsidR="00662AA8" w:rsidRPr="00662AA8" w:rsidRDefault="00662AA8" w:rsidP="00662AA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 xml:space="preserve">Превышение фактической массы транспортного средства </w:t>
            </w:r>
            <w:proofErr w:type="gramStart"/>
            <w:r w:rsidRPr="00662AA8">
              <w:rPr>
                <w:rFonts w:ascii="Times New Roman" w:hAnsi="Times New Roman" w:cs="Times New Roman"/>
              </w:rPr>
              <w:t>над</w:t>
            </w:r>
            <w:proofErr w:type="gramEnd"/>
            <w:r w:rsidRPr="00662AA8">
              <w:rPr>
                <w:rFonts w:ascii="Times New Roman" w:hAnsi="Times New Roman" w:cs="Times New Roman"/>
              </w:rPr>
              <w:t xml:space="preserve"> допустимой</w:t>
            </w:r>
          </w:p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Размер вреда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3563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3620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lastRenderedPageBreak/>
              <w:t>от 4 (включительно) до 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3678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3736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3794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3851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3909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3967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4025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4082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4140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4198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4256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4313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4371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4429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4487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4544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4602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4660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4718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4775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4833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4891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4949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5006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5064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5122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5180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5237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5295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5353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5411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lastRenderedPageBreak/>
              <w:t>от 35 (включительно) до 36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5468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5526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5584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5642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5699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5757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5815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5873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5930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5988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6046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6104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6161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6219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6277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6335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6392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6450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6508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6566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6623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6681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6739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6797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6854</w:t>
            </w:r>
          </w:p>
        </w:tc>
      </w:tr>
      <w:tr w:rsidR="00662AA8" w:rsidRPr="00662AA8" w:rsidTr="00662AA8">
        <w:tc>
          <w:tcPr>
            <w:tcW w:w="4535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4535" w:type="dxa"/>
          </w:tcPr>
          <w:p w:rsidR="00662AA8" w:rsidRPr="00662AA8" w:rsidRDefault="00662AA8" w:rsidP="00583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AA8">
              <w:rPr>
                <w:rFonts w:ascii="Times New Roman" w:hAnsi="Times New Roman" w:cs="Times New Roman"/>
              </w:rPr>
              <w:t>рассчитывается по формулам, приведенным в</w:t>
            </w:r>
            <w:r w:rsidR="00583881">
              <w:rPr>
                <w:rFonts w:ascii="Times New Roman" w:hAnsi="Times New Roman" w:cs="Times New Roman"/>
              </w:rPr>
              <w:t xml:space="preserve"> методике</w:t>
            </w:r>
            <w:r w:rsidRPr="00662AA8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</w:t>
            </w:r>
            <w:proofErr w:type="gramEnd"/>
          </w:p>
        </w:tc>
      </w:tr>
    </w:tbl>
    <w:p w:rsidR="005A5EA5" w:rsidRDefault="005A5EA5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A5EA5" w:rsidRDefault="005A5EA5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1DA4" w:rsidRDefault="00501DA4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_GoBack"/>
      <w:bookmarkEnd w:id="1"/>
    </w:p>
    <w:p w:rsidR="00662AA8" w:rsidRPr="00662AA8" w:rsidRDefault="00662AA8" w:rsidP="00662A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Таблица 5</w:t>
      </w:r>
    </w:p>
    <w:p w:rsidR="005A5EA5" w:rsidRDefault="005A5EA5" w:rsidP="00662AA8">
      <w:pPr>
        <w:pStyle w:val="ConsPlusTitle"/>
        <w:jc w:val="center"/>
        <w:rPr>
          <w:rFonts w:ascii="Times New Roman" w:hAnsi="Times New Roman" w:cs="Times New Roman"/>
        </w:rPr>
      </w:pPr>
    </w:p>
    <w:p w:rsidR="00681755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Исходное значение размера вреда при превышении</w:t>
      </w:r>
      <w:r w:rsidR="00681755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допустимых нагрузок на ось транспортного средства</w:t>
      </w:r>
      <w:r w:rsidR="00681755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для автомобильных дорог общего пользования</w:t>
      </w:r>
      <w:r w:rsidR="00681755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местного значения</w:t>
      </w:r>
    </w:p>
    <w:p w:rsidR="00662AA8" w:rsidRPr="00662AA8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62AA8">
        <w:rPr>
          <w:rFonts w:ascii="Times New Roman" w:hAnsi="Times New Roman" w:cs="Times New Roman"/>
        </w:rPr>
        <w:t>(в соответствии с требованиями</w:t>
      </w:r>
      <w:r w:rsidR="005A5EA5">
        <w:rPr>
          <w:rFonts w:ascii="Times New Roman" w:hAnsi="Times New Roman" w:cs="Times New Roman"/>
        </w:rPr>
        <w:t xml:space="preserve"> методики</w:t>
      </w:r>
      <w:r w:rsidR="00681755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расчета размера вреда, причиняемого тяжеловесными</w:t>
      </w:r>
      <w:r w:rsidR="00681755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транспортными средствами, предусмотренной приложением</w:t>
      </w:r>
      <w:r w:rsidR="00681755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к Правилам возмещения вреда, причиняемого тяжеловесными</w:t>
      </w:r>
      <w:r w:rsidR="00681755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транспортными средствами, утвержденным постановлением</w:t>
      </w:r>
      <w:r w:rsidR="00681755">
        <w:rPr>
          <w:rFonts w:ascii="Times New Roman" w:hAnsi="Times New Roman" w:cs="Times New Roman"/>
        </w:rPr>
        <w:t xml:space="preserve"> </w:t>
      </w:r>
      <w:r w:rsidRPr="00662AA8">
        <w:rPr>
          <w:rFonts w:ascii="Times New Roman" w:hAnsi="Times New Roman" w:cs="Times New Roman"/>
        </w:rPr>
        <w:t>Правительства Российской Федерации</w:t>
      </w:r>
      <w:proofErr w:type="gramEnd"/>
    </w:p>
    <w:p w:rsidR="00662AA8" w:rsidRPr="00662AA8" w:rsidRDefault="00662AA8" w:rsidP="00662AA8">
      <w:pPr>
        <w:pStyle w:val="ConsPlusTitle"/>
        <w:jc w:val="center"/>
        <w:rPr>
          <w:rFonts w:ascii="Times New Roman" w:hAnsi="Times New Roman" w:cs="Times New Roman"/>
        </w:rPr>
      </w:pPr>
      <w:r w:rsidRPr="00662AA8">
        <w:rPr>
          <w:rFonts w:ascii="Times New Roman" w:hAnsi="Times New Roman" w:cs="Times New Roman"/>
        </w:rPr>
        <w:t>от 31 января 2020 г. N 67)</w:t>
      </w:r>
    </w:p>
    <w:p w:rsidR="00662AA8" w:rsidRPr="00662AA8" w:rsidRDefault="00662AA8" w:rsidP="00662A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11"/>
        <w:gridCol w:w="1701"/>
        <w:gridCol w:w="1701"/>
      </w:tblGrid>
      <w:tr w:rsidR="00662AA8" w:rsidRPr="00662AA8" w:rsidTr="00662AA8">
        <w:tc>
          <w:tcPr>
            <w:tcW w:w="3458" w:type="dxa"/>
            <w:vMerge w:val="restart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 xml:space="preserve">Нормативная нагрузка на ось транспортного средства для автомобильной дороги, </w:t>
            </w:r>
            <w:proofErr w:type="gramStart"/>
            <w:r w:rsidRPr="00662AA8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211" w:type="dxa"/>
            <w:vMerge w:val="restart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AA8">
              <w:rPr>
                <w:rFonts w:ascii="Times New Roman" w:hAnsi="Times New Roman" w:cs="Times New Roman"/>
              </w:rPr>
              <w:t>Р</w:t>
            </w:r>
            <w:r w:rsidRPr="00662AA8">
              <w:rPr>
                <w:rFonts w:ascii="Times New Roman" w:hAnsi="Times New Roman" w:cs="Times New Roman"/>
                <w:vertAlign w:val="subscript"/>
              </w:rPr>
              <w:t>исх</w:t>
            </w:r>
            <w:proofErr w:type="gramStart"/>
            <w:r w:rsidRPr="00662AA8">
              <w:rPr>
                <w:rFonts w:ascii="Times New Roman" w:hAnsi="Times New Roman" w:cs="Times New Roman"/>
                <w:vertAlign w:val="subscript"/>
              </w:rPr>
              <w:t>.о</w:t>
            </w:r>
            <w:proofErr w:type="gramEnd"/>
            <w:r w:rsidRPr="00662AA8">
              <w:rPr>
                <w:rFonts w:ascii="Times New Roman" w:hAnsi="Times New Roman" w:cs="Times New Roman"/>
                <w:vertAlign w:val="subscript"/>
              </w:rPr>
              <w:t>сь</w:t>
            </w:r>
            <w:proofErr w:type="spellEnd"/>
            <w:r w:rsidRPr="00662AA8">
              <w:rPr>
                <w:rFonts w:ascii="Times New Roman" w:hAnsi="Times New Roman" w:cs="Times New Roman"/>
              </w:rPr>
              <w:t>,</w:t>
            </w:r>
          </w:p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руб./100 км</w:t>
            </w:r>
          </w:p>
        </w:tc>
        <w:tc>
          <w:tcPr>
            <w:tcW w:w="3402" w:type="dxa"/>
            <w:gridSpan w:val="2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Постоянные коэффициенты</w:t>
            </w:r>
          </w:p>
        </w:tc>
      </w:tr>
      <w:tr w:rsidR="00662AA8" w:rsidRPr="00662AA8" w:rsidTr="00662AA8">
        <w:tc>
          <w:tcPr>
            <w:tcW w:w="3458" w:type="dxa"/>
            <w:vMerge/>
          </w:tcPr>
          <w:p w:rsidR="00662AA8" w:rsidRPr="00662AA8" w:rsidRDefault="00662AA8" w:rsidP="00662AA8"/>
        </w:tc>
        <w:tc>
          <w:tcPr>
            <w:tcW w:w="2211" w:type="dxa"/>
            <w:vMerge/>
          </w:tcPr>
          <w:p w:rsidR="00662AA8" w:rsidRPr="00662AA8" w:rsidRDefault="00662AA8" w:rsidP="00662AA8"/>
        </w:tc>
        <w:tc>
          <w:tcPr>
            <w:tcW w:w="1701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b</w:t>
            </w:r>
          </w:p>
        </w:tc>
      </w:tr>
      <w:tr w:rsidR="00662AA8" w:rsidRPr="00662AA8" w:rsidTr="00662AA8">
        <w:tc>
          <w:tcPr>
            <w:tcW w:w="3458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1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701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701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0,27</w:t>
            </w:r>
          </w:p>
        </w:tc>
      </w:tr>
      <w:tr w:rsidR="00662AA8" w:rsidRPr="00662AA8" w:rsidTr="00662AA8">
        <w:tc>
          <w:tcPr>
            <w:tcW w:w="3458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1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701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701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2,4</w:t>
            </w:r>
          </w:p>
        </w:tc>
      </w:tr>
      <w:tr w:rsidR="00662AA8" w:rsidRPr="00662AA8" w:rsidTr="00662AA8">
        <w:tc>
          <w:tcPr>
            <w:tcW w:w="3458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211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701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01" w:type="dxa"/>
          </w:tcPr>
          <w:p w:rsidR="00662AA8" w:rsidRPr="00662AA8" w:rsidRDefault="00662AA8" w:rsidP="00662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AA8">
              <w:rPr>
                <w:rFonts w:ascii="Times New Roman" w:hAnsi="Times New Roman" w:cs="Times New Roman"/>
              </w:rPr>
              <w:t>2,7</w:t>
            </w:r>
          </w:p>
        </w:tc>
      </w:tr>
    </w:tbl>
    <w:p w:rsidR="00662AA8" w:rsidRPr="00662AA8" w:rsidRDefault="00662AA8" w:rsidP="006259F3">
      <w:pPr>
        <w:pStyle w:val="ConsPlusNormal"/>
        <w:jc w:val="both"/>
        <w:rPr>
          <w:rFonts w:ascii="Times New Roman" w:hAnsi="Times New Roman" w:cs="Times New Roman"/>
        </w:rPr>
      </w:pPr>
    </w:p>
    <w:sectPr w:rsidR="00662AA8" w:rsidRPr="00662AA8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46" w:rsidRDefault="00896146">
      <w:r>
        <w:separator/>
      </w:r>
    </w:p>
  </w:endnote>
  <w:endnote w:type="continuationSeparator" w:id="0">
    <w:p w:rsidR="00896146" w:rsidRDefault="0089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46" w:rsidRDefault="00896146">
      <w:r>
        <w:separator/>
      </w:r>
    </w:p>
  </w:footnote>
  <w:footnote w:type="continuationSeparator" w:id="0">
    <w:p w:rsidR="00896146" w:rsidRDefault="0089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2B" w:rsidRDefault="0013692B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692B" w:rsidRDefault="001369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4809"/>
    <w:rsid w:val="00014858"/>
    <w:rsid w:val="00017103"/>
    <w:rsid w:val="000266E7"/>
    <w:rsid w:val="00027A90"/>
    <w:rsid w:val="00031841"/>
    <w:rsid w:val="00044BCA"/>
    <w:rsid w:val="00046A61"/>
    <w:rsid w:val="00047170"/>
    <w:rsid w:val="00047506"/>
    <w:rsid w:val="00053164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E7C"/>
    <w:rsid w:val="000C2F45"/>
    <w:rsid w:val="000C38A5"/>
    <w:rsid w:val="000C3BA2"/>
    <w:rsid w:val="000C5DD0"/>
    <w:rsid w:val="000D1EFD"/>
    <w:rsid w:val="000D5226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692B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54B4"/>
    <w:rsid w:val="001F7334"/>
    <w:rsid w:val="00200EA0"/>
    <w:rsid w:val="00206364"/>
    <w:rsid w:val="00210025"/>
    <w:rsid w:val="00210A8A"/>
    <w:rsid w:val="0021330F"/>
    <w:rsid w:val="00221272"/>
    <w:rsid w:val="0023390C"/>
    <w:rsid w:val="00235287"/>
    <w:rsid w:val="002519FD"/>
    <w:rsid w:val="00252366"/>
    <w:rsid w:val="0025544D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1A84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8E8"/>
    <w:rsid w:val="00373C9B"/>
    <w:rsid w:val="00376678"/>
    <w:rsid w:val="00381B94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1C4E"/>
    <w:rsid w:val="0045480B"/>
    <w:rsid w:val="004575B1"/>
    <w:rsid w:val="0046096A"/>
    <w:rsid w:val="0046656A"/>
    <w:rsid w:val="00471574"/>
    <w:rsid w:val="00472610"/>
    <w:rsid w:val="00474701"/>
    <w:rsid w:val="004779B0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E5213"/>
    <w:rsid w:val="004E6779"/>
    <w:rsid w:val="004F2532"/>
    <w:rsid w:val="00501DA4"/>
    <w:rsid w:val="005023D6"/>
    <w:rsid w:val="00502C61"/>
    <w:rsid w:val="0050358F"/>
    <w:rsid w:val="00503846"/>
    <w:rsid w:val="00503FB1"/>
    <w:rsid w:val="00510BAF"/>
    <w:rsid w:val="0052089F"/>
    <w:rsid w:val="00530C92"/>
    <w:rsid w:val="00531896"/>
    <w:rsid w:val="005423DA"/>
    <w:rsid w:val="00550A22"/>
    <w:rsid w:val="0055219A"/>
    <w:rsid w:val="0056412E"/>
    <w:rsid w:val="00575894"/>
    <w:rsid w:val="00575CAE"/>
    <w:rsid w:val="00577619"/>
    <w:rsid w:val="0058316D"/>
    <w:rsid w:val="00583881"/>
    <w:rsid w:val="00587827"/>
    <w:rsid w:val="00593C07"/>
    <w:rsid w:val="00594C9D"/>
    <w:rsid w:val="00596BB6"/>
    <w:rsid w:val="005A5EA5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259F3"/>
    <w:rsid w:val="00647FB7"/>
    <w:rsid w:val="00655798"/>
    <w:rsid w:val="006576F7"/>
    <w:rsid w:val="0066199D"/>
    <w:rsid w:val="00662AA8"/>
    <w:rsid w:val="006630AF"/>
    <w:rsid w:val="006634E9"/>
    <w:rsid w:val="00670900"/>
    <w:rsid w:val="00672546"/>
    <w:rsid w:val="00681755"/>
    <w:rsid w:val="00684968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248A"/>
    <w:rsid w:val="0070377D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8705C"/>
    <w:rsid w:val="007922A1"/>
    <w:rsid w:val="00792386"/>
    <w:rsid w:val="007927FB"/>
    <w:rsid w:val="00792B95"/>
    <w:rsid w:val="00795070"/>
    <w:rsid w:val="00797749"/>
    <w:rsid w:val="007977DF"/>
    <w:rsid w:val="007A0212"/>
    <w:rsid w:val="007A15CB"/>
    <w:rsid w:val="007A1C76"/>
    <w:rsid w:val="007A407B"/>
    <w:rsid w:val="007A79A4"/>
    <w:rsid w:val="007B2E83"/>
    <w:rsid w:val="007B5BCF"/>
    <w:rsid w:val="007C0CCD"/>
    <w:rsid w:val="007C1A32"/>
    <w:rsid w:val="007C1F65"/>
    <w:rsid w:val="007C37CD"/>
    <w:rsid w:val="007C5D4A"/>
    <w:rsid w:val="007D127A"/>
    <w:rsid w:val="007D591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1045"/>
    <w:rsid w:val="008421CB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6146"/>
    <w:rsid w:val="008977A3"/>
    <w:rsid w:val="008A0EE0"/>
    <w:rsid w:val="008A2137"/>
    <w:rsid w:val="008A3519"/>
    <w:rsid w:val="008B14E9"/>
    <w:rsid w:val="008B5199"/>
    <w:rsid w:val="008C27FD"/>
    <w:rsid w:val="008D4458"/>
    <w:rsid w:val="008D56EE"/>
    <w:rsid w:val="008D6034"/>
    <w:rsid w:val="008E212C"/>
    <w:rsid w:val="008E5D9F"/>
    <w:rsid w:val="008F5AA6"/>
    <w:rsid w:val="009004F1"/>
    <w:rsid w:val="009068C1"/>
    <w:rsid w:val="0092089D"/>
    <w:rsid w:val="00921002"/>
    <w:rsid w:val="0092124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80D26"/>
    <w:rsid w:val="00986F26"/>
    <w:rsid w:val="0099421A"/>
    <w:rsid w:val="00994277"/>
    <w:rsid w:val="0099627B"/>
    <w:rsid w:val="009A32BE"/>
    <w:rsid w:val="009A4BA6"/>
    <w:rsid w:val="009B64AF"/>
    <w:rsid w:val="009C08A6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9F505C"/>
    <w:rsid w:val="00A00D53"/>
    <w:rsid w:val="00A0328A"/>
    <w:rsid w:val="00A0733E"/>
    <w:rsid w:val="00A07A19"/>
    <w:rsid w:val="00A1326C"/>
    <w:rsid w:val="00A13E92"/>
    <w:rsid w:val="00A152C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B4F53"/>
    <w:rsid w:val="00AB6E98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14AA5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F9F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1F80"/>
    <w:rsid w:val="00C11C3D"/>
    <w:rsid w:val="00C21CE0"/>
    <w:rsid w:val="00C228DD"/>
    <w:rsid w:val="00C34006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772A"/>
    <w:rsid w:val="00D91BC4"/>
    <w:rsid w:val="00D94F6A"/>
    <w:rsid w:val="00DA1BC8"/>
    <w:rsid w:val="00DA34C1"/>
    <w:rsid w:val="00DB73FA"/>
    <w:rsid w:val="00DC2B57"/>
    <w:rsid w:val="00DC6FDF"/>
    <w:rsid w:val="00DD017A"/>
    <w:rsid w:val="00DD11C9"/>
    <w:rsid w:val="00DD5A4F"/>
    <w:rsid w:val="00DE010B"/>
    <w:rsid w:val="00DE36E6"/>
    <w:rsid w:val="00DE3A7A"/>
    <w:rsid w:val="00DE4AEF"/>
    <w:rsid w:val="00DF0209"/>
    <w:rsid w:val="00E010A0"/>
    <w:rsid w:val="00E02DD8"/>
    <w:rsid w:val="00E10A5C"/>
    <w:rsid w:val="00E2490E"/>
    <w:rsid w:val="00E26D5A"/>
    <w:rsid w:val="00E466D3"/>
    <w:rsid w:val="00E52FE1"/>
    <w:rsid w:val="00E623FB"/>
    <w:rsid w:val="00E636AE"/>
    <w:rsid w:val="00E650C4"/>
    <w:rsid w:val="00E65BAA"/>
    <w:rsid w:val="00E70E1B"/>
    <w:rsid w:val="00E71D0D"/>
    <w:rsid w:val="00E72CAA"/>
    <w:rsid w:val="00E74841"/>
    <w:rsid w:val="00E75705"/>
    <w:rsid w:val="00E75A67"/>
    <w:rsid w:val="00E82910"/>
    <w:rsid w:val="00E8364F"/>
    <w:rsid w:val="00E8374E"/>
    <w:rsid w:val="00E877DE"/>
    <w:rsid w:val="00E92C36"/>
    <w:rsid w:val="00EA1081"/>
    <w:rsid w:val="00EA6782"/>
    <w:rsid w:val="00EB348F"/>
    <w:rsid w:val="00EB42FF"/>
    <w:rsid w:val="00EB4A72"/>
    <w:rsid w:val="00EB6420"/>
    <w:rsid w:val="00ED14DF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5C21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7870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8705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7870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8705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35FD-A5C2-447C-84D4-72BDAD4C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33</cp:revision>
  <cp:lastPrinted>2021-05-31T06:47:00Z</cp:lastPrinted>
  <dcterms:created xsi:type="dcterms:W3CDTF">2021-06-23T05:54:00Z</dcterms:created>
  <dcterms:modified xsi:type="dcterms:W3CDTF">2021-06-26T04:40:00Z</dcterms:modified>
</cp:coreProperties>
</file>