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Default="00F23888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1165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1EAD">
        <w:rPr>
          <w:rFonts w:ascii="Times New Roman" w:hAnsi="Times New Roman"/>
          <w:sz w:val="28"/>
          <w:szCs w:val="28"/>
        </w:rPr>
        <w:t>31.03.2017</w:t>
      </w:r>
      <w:r w:rsidR="00880250">
        <w:rPr>
          <w:rFonts w:ascii="Times New Roman" w:hAnsi="Times New Roman"/>
          <w:sz w:val="28"/>
          <w:szCs w:val="28"/>
        </w:rPr>
        <w:t xml:space="preserve"> </w:t>
      </w:r>
      <w:r w:rsidR="00556717">
        <w:rPr>
          <w:rFonts w:ascii="Times New Roman" w:hAnsi="Times New Roman"/>
          <w:sz w:val="28"/>
          <w:szCs w:val="28"/>
        </w:rPr>
        <w:t xml:space="preserve"> 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 w:rsidR="00061EAD">
        <w:rPr>
          <w:rFonts w:ascii="Times New Roman" w:hAnsi="Times New Roman"/>
          <w:sz w:val="28"/>
          <w:szCs w:val="28"/>
        </w:rPr>
        <w:t>935-п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4E3BF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2016-2020</w:t>
      </w:r>
      <w:r w:rsidR="005973E3" w:rsidRPr="005973E3">
        <w:rPr>
          <w:rFonts w:ascii="Times New Roman" w:hAnsi="Times New Roman"/>
          <w:sz w:val="28"/>
          <w:szCs w:val="28"/>
        </w:rPr>
        <w:t xml:space="preserve">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D545D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3E3"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="005973E3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="005973E3"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="005973E3"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</w:t>
      </w:r>
      <w:r w:rsidR="004E3BF0">
        <w:rPr>
          <w:rFonts w:ascii="Times New Roman" w:hAnsi="Times New Roman"/>
          <w:sz w:val="28"/>
          <w:szCs w:val="28"/>
        </w:rPr>
        <w:t>о городского округа на 2016-2020</w:t>
      </w:r>
      <w:r w:rsidRPr="005973E3">
        <w:rPr>
          <w:rFonts w:ascii="Times New Roman" w:hAnsi="Times New Roman"/>
          <w:sz w:val="28"/>
          <w:szCs w:val="28"/>
        </w:rPr>
        <w:t xml:space="preserve"> годы», (далее Программы) следующие изменения:</w:t>
      </w:r>
    </w:p>
    <w:p w:rsidR="009B33F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33F8">
        <w:rPr>
          <w:rFonts w:ascii="Times New Roman" w:hAnsi="Times New Roman"/>
          <w:sz w:val="28"/>
          <w:szCs w:val="28"/>
        </w:rPr>
        <w:t>. Раздел «Объем бюджетных ассигнований Программы» в паспорте Программы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 xml:space="preserve">прогнозный объем финансового обеспечения Программы (в ценах соответствующих лет) составит </w:t>
      </w:r>
      <w:r w:rsidR="00B77EC1">
        <w:rPr>
          <w:rFonts w:ascii="Times New Roman" w:hAnsi="Times New Roman"/>
          <w:sz w:val="28"/>
          <w:szCs w:val="28"/>
        </w:rPr>
        <w:t>3 026 372,066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1 076 107,166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7EC1">
        <w:rPr>
          <w:rFonts w:ascii="Times New Roman" w:hAnsi="Times New Roman"/>
          <w:sz w:val="28"/>
          <w:szCs w:val="28"/>
        </w:rPr>
        <w:t> 945 969,7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</w:t>
      </w:r>
      <w:r w:rsidR="00B77EC1">
        <w:rPr>
          <w:rFonts w:ascii="Times New Roman" w:hAnsi="Times New Roman"/>
          <w:sz w:val="28"/>
          <w:szCs w:val="28"/>
        </w:rPr>
        <w:t>4295,20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Default="008E67F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8E67FF" w:rsidRPr="008F26C6" w:rsidRDefault="0030691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8E67FF"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8E67FF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</w:t>
      </w:r>
      <w:r w:rsidR="00B77EC1">
        <w:rPr>
          <w:rFonts w:ascii="Times New Roman" w:hAnsi="Times New Roman"/>
          <w:sz w:val="28"/>
          <w:szCs w:val="28"/>
        </w:rPr>
        <w:t>2 856 165,466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950 623,866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 w:rsidR="00B77EC1">
        <w:rPr>
          <w:rFonts w:ascii="Times New Roman" w:hAnsi="Times New Roman"/>
          <w:sz w:val="28"/>
          <w:szCs w:val="28"/>
        </w:rPr>
        <w:t> 901 246,40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4295,20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hyperlink w:anchor="Par2662" w:history="1">
        <w:r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Pr="008F26C6">
        <w:rPr>
          <w:rFonts w:ascii="Times New Roman" w:hAnsi="Times New Roman"/>
          <w:sz w:val="28"/>
          <w:szCs w:val="28"/>
        </w:rPr>
        <w:t xml:space="preserve"> "Школьное питание »  - </w:t>
      </w:r>
      <w:r w:rsidR="00B77EC1">
        <w:rPr>
          <w:rFonts w:ascii="Times New Roman" w:hAnsi="Times New Roman"/>
          <w:sz w:val="28"/>
          <w:szCs w:val="28"/>
        </w:rPr>
        <w:t>64 463,30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267FE5">
        <w:rPr>
          <w:rFonts w:ascii="Times New Roman" w:hAnsi="Times New Roman"/>
          <w:sz w:val="28"/>
          <w:szCs w:val="28"/>
        </w:rPr>
        <w:t>тыс. рублей</w:t>
      </w:r>
      <w:r w:rsidRPr="008F26C6">
        <w:rPr>
          <w:rFonts w:ascii="Times New Roman" w:hAnsi="Times New Roman"/>
          <w:sz w:val="28"/>
          <w:szCs w:val="28"/>
        </w:rPr>
        <w:t xml:space="preserve">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="00B77EC1">
        <w:rPr>
          <w:rFonts w:ascii="Times New Roman" w:hAnsi="Times New Roman"/>
          <w:sz w:val="28"/>
          <w:szCs w:val="28"/>
        </w:rPr>
        <w:t>19 740,0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="00B77EC1">
        <w:rPr>
          <w:rFonts w:ascii="Times New Roman" w:hAnsi="Times New Roman"/>
          <w:sz w:val="28"/>
          <w:szCs w:val="28"/>
        </w:rPr>
        <w:t>44 723,30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подпрограмма «Обеспечение деятельности </w:t>
      </w:r>
      <w:r w:rsidR="00B77EC1">
        <w:rPr>
          <w:rFonts w:ascii="Times New Roman" w:hAnsi="Times New Roman"/>
          <w:sz w:val="28"/>
          <w:szCs w:val="28"/>
        </w:rPr>
        <w:t>в сфере образования</w:t>
      </w:r>
      <w:r w:rsidRPr="008F26C6">
        <w:rPr>
          <w:rFonts w:ascii="Times New Roman" w:hAnsi="Times New Roman"/>
          <w:sz w:val="28"/>
          <w:szCs w:val="28"/>
        </w:rPr>
        <w:t xml:space="preserve">» - </w:t>
      </w:r>
      <w:r w:rsidR="00B77EC1"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sz w:val="28"/>
          <w:szCs w:val="28"/>
        </w:rPr>
        <w:t xml:space="preserve"> тыс. рублей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б)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B77EC1">
        <w:rPr>
          <w:rFonts w:ascii="Times New Roman" w:hAnsi="Times New Roman"/>
          <w:b/>
          <w:sz w:val="28"/>
          <w:szCs w:val="28"/>
        </w:rPr>
        <w:t>630 526,766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241 275,066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388 281,70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 w:rsidR="00B77EC1">
        <w:rPr>
          <w:rFonts w:ascii="Times New Roman" w:hAnsi="Times New Roman"/>
          <w:b/>
          <w:sz w:val="28"/>
          <w:szCs w:val="28"/>
        </w:rPr>
        <w:t>627 091,30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236 838,0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389 422,0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 w:rsidR="00B77EC1">
        <w:rPr>
          <w:rFonts w:ascii="Times New Roman" w:hAnsi="Times New Roman"/>
          <w:b/>
          <w:sz w:val="28"/>
          <w:szCs w:val="28"/>
        </w:rPr>
        <w:t>622 608,80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232 355,50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B77EC1" w:rsidRPr="008F26C6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B77EC1" w:rsidRPr="008F26C6" w:rsidRDefault="002D5E56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="00B77EC1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B77EC1" w:rsidRPr="008F26C6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B77EC1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B77EC1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5E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«Объем бюджетных ассигнований Подпрограммы» в паспорте подпрограммы «Развитие дошкольного, общего образования и дополнительного образования»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</w:t>
      </w:r>
      <w:r>
        <w:rPr>
          <w:rFonts w:ascii="Times New Roman" w:hAnsi="Times New Roman"/>
          <w:sz w:val="28"/>
          <w:szCs w:val="28"/>
        </w:rPr>
        <w:t>мероприятий Подп</w:t>
      </w:r>
      <w:r w:rsidRPr="008F26C6">
        <w:rPr>
          <w:rFonts w:ascii="Times New Roman" w:hAnsi="Times New Roman"/>
          <w:sz w:val="28"/>
          <w:szCs w:val="28"/>
        </w:rPr>
        <w:t xml:space="preserve">рограммы (в ценах соответствующих лет) составит </w:t>
      </w:r>
      <w:r w:rsidR="002D5E56">
        <w:rPr>
          <w:rFonts w:ascii="Times New Roman" w:hAnsi="Times New Roman"/>
          <w:sz w:val="28"/>
          <w:szCs w:val="28"/>
        </w:rPr>
        <w:t>2 856 165,466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950 623 866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5E56">
        <w:rPr>
          <w:rFonts w:ascii="Times New Roman" w:hAnsi="Times New Roman"/>
          <w:sz w:val="28"/>
          <w:szCs w:val="28"/>
        </w:rPr>
        <w:t xml:space="preserve"> 901 246,40 </w:t>
      </w:r>
      <w:r w:rsidRPr="008F26C6">
        <w:rPr>
          <w:rFonts w:ascii="Times New Roman" w:hAnsi="Times New Roman"/>
          <w:sz w:val="28"/>
          <w:szCs w:val="28"/>
        </w:rPr>
        <w:t>тыс. руб. – областной бюджет</w:t>
      </w:r>
    </w:p>
    <w:p w:rsidR="008E67FF" w:rsidRDefault="002D5E56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4295,20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lastRenderedPageBreak/>
        <w:t xml:space="preserve"> 2016 год – </w:t>
      </w:r>
      <w:r w:rsidR="002D5E56">
        <w:rPr>
          <w:rFonts w:ascii="Times New Roman" w:hAnsi="Times New Roman"/>
          <w:b/>
          <w:sz w:val="28"/>
          <w:szCs w:val="28"/>
        </w:rPr>
        <w:t xml:space="preserve">596 384,766 </w:t>
      </w:r>
      <w:r w:rsidRPr="008F26C6">
        <w:rPr>
          <w:rFonts w:ascii="Times New Roman" w:hAnsi="Times New Roman"/>
          <w:b/>
          <w:sz w:val="28"/>
          <w:szCs w:val="28"/>
        </w:rPr>
        <w:t>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215 799,966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379 614,80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 w:rsidR="002D5E56">
        <w:rPr>
          <w:rFonts w:ascii="Times New Roman" w:hAnsi="Times New Roman"/>
          <w:b/>
          <w:sz w:val="28"/>
          <w:szCs w:val="28"/>
        </w:rPr>
        <w:t>589 269,20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208 030,0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380 407,90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 w:rsidR="002D5E56">
        <w:rPr>
          <w:rFonts w:ascii="Times New Roman" w:hAnsi="Times New Roman"/>
          <w:b/>
          <w:sz w:val="28"/>
          <w:szCs w:val="28"/>
        </w:rPr>
        <w:t>585 633,10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204 393,90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36F8">
        <w:rPr>
          <w:rFonts w:ascii="Times New Roman" w:hAnsi="Times New Roman"/>
          <w:sz w:val="28"/>
          <w:szCs w:val="28"/>
        </w:rPr>
        <w:t>. Раздел «Объем бюджетных ассигнований Подпрограммы» в паспорте подпрограммы «</w:t>
      </w:r>
      <w:r>
        <w:rPr>
          <w:rFonts w:ascii="Times New Roman" w:hAnsi="Times New Roman"/>
          <w:sz w:val="28"/>
          <w:szCs w:val="28"/>
        </w:rPr>
        <w:t>Школьное питание</w:t>
      </w:r>
      <w:r w:rsidR="00BF36F8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 w:rsidR="002D5E56">
        <w:rPr>
          <w:rFonts w:ascii="Times New Roman" w:hAnsi="Times New Roman"/>
          <w:sz w:val="28"/>
          <w:szCs w:val="28"/>
        </w:rPr>
        <w:t>64 463,30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19 740,0</w:t>
      </w:r>
      <w:r w:rsidR="00BF36F8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44 723,30 тыс. руб. – областной бюджет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2016 год – </w:t>
      </w:r>
      <w:r w:rsidR="002D5E56">
        <w:rPr>
          <w:rFonts w:ascii="Times New Roman" w:hAnsi="Times New Roman"/>
          <w:b/>
          <w:sz w:val="28"/>
          <w:szCs w:val="28"/>
        </w:rPr>
        <w:t>13 666,90</w:t>
      </w:r>
      <w:r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5000,0</w:t>
      </w:r>
      <w:r w:rsidR="00BF36F8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8666,90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13 384,10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13 384,10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12 014,10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12 014,10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6F8" w:rsidRDefault="00BF36F8" w:rsidP="009F461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20 475,10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150">
        <w:rPr>
          <w:rFonts w:ascii="Times New Roman" w:hAnsi="Times New Roman"/>
          <w:sz w:val="28"/>
          <w:szCs w:val="28"/>
        </w:rPr>
        <w:t>20 475,10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24 438,0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24 438,0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23 591,60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23 591,60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18 619,30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18 619,30 тыс. рублей, из них: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5973E3" w:rsidRPr="005973E3" w:rsidRDefault="00204150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1704">
        <w:rPr>
          <w:rFonts w:ascii="Times New Roman" w:hAnsi="Times New Roman"/>
          <w:sz w:val="28"/>
          <w:szCs w:val="28"/>
        </w:rPr>
        <w:t>2</w:t>
      </w:r>
      <w:r w:rsidR="005973E3" w:rsidRPr="005973E3">
        <w:rPr>
          <w:rFonts w:ascii="Times New Roman" w:hAnsi="Times New Roman"/>
          <w:sz w:val="28"/>
          <w:szCs w:val="28"/>
        </w:rPr>
        <w:t xml:space="preserve">. Приложение № 3 </w:t>
      </w:r>
      <w:r w:rsidR="00B83BEA" w:rsidRPr="005973E3">
        <w:rPr>
          <w:rFonts w:ascii="Times New Roman" w:hAnsi="Times New Roman"/>
          <w:sz w:val="28"/>
          <w:szCs w:val="28"/>
        </w:rPr>
        <w:t>к</w:t>
      </w:r>
      <w:r w:rsidR="00B83BEA" w:rsidRPr="00D545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bookmarkEnd w:id="0"/>
      <w:r w:rsidR="004E1CC9">
        <w:rPr>
          <w:rFonts w:ascii="Times New Roman" w:hAnsi="Times New Roman"/>
          <w:sz w:val="28"/>
          <w:szCs w:val="28"/>
        </w:rPr>
        <w:t xml:space="preserve"> 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1704">
        <w:rPr>
          <w:rFonts w:ascii="Times New Roman" w:hAnsi="Times New Roman"/>
          <w:sz w:val="28"/>
          <w:szCs w:val="28"/>
        </w:rPr>
        <w:t>3</w:t>
      </w:r>
      <w:r w:rsidR="00E32755">
        <w:rPr>
          <w:rFonts w:ascii="Times New Roman" w:hAnsi="Times New Roman"/>
          <w:sz w:val="28"/>
          <w:szCs w:val="28"/>
        </w:rPr>
        <w:t xml:space="preserve">. </w:t>
      </w:r>
      <w:r w:rsidR="005973E3"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973E3" w:rsidRP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Pr="005973E3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419" w:rsidRDefault="004E3BF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64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46419" w:rsidRDefault="00046419" w:rsidP="00A3573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</w:t>
      </w:r>
      <w:r w:rsidR="004B786B">
        <w:rPr>
          <w:rFonts w:ascii="Times New Roman" w:hAnsi="Times New Roman"/>
          <w:sz w:val="28"/>
          <w:szCs w:val="28"/>
        </w:rPr>
        <w:t xml:space="preserve"> </w:t>
      </w:r>
      <w:r w:rsidR="004E3BF0">
        <w:rPr>
          <w:rFonts w:ascii="Times New Roman" w:hAnsi="Times New Roman"/>
          <w:sz w:val="28"/>
          <w:szCs w:val="28"/>
        </w:rPr>
        <w:t xml:space="preserve">    </w:t>
      </w:r>
      <w:r w:rsidR="004B786B">
        <w:rPr>
          <w:rFonts w:ascii="Times New Roman" w:hAnsi="Times New Roman"/>
          <w:sz w:val="28"/>
          <w:szCs w:val="28"/>
        </w:rPr>
        <w:t xml:space="preserve"> </w:t>
      </w:r>
      <w:r w:rsidR="009F4611">
        <w:rPr>
          <w:rFonts w:ascii="Times New Roman" w:hAnsi="Times New Roman"/>
          <w:sz w:val="28"/>
          <w:szCs w:val="28"/>
        </w:rPr>
        <w:t xml:space="preserve">              </w:t>
      </w:r>
      <w:r w:rsidR="00B77EC1">
        <w:rPr>
          <w:rFonts w:ascii="Times New Roman" w:hAnsi="Times New Roman"/>
          <w:sz w:val="28"/>
          <w:szCs w:val="28"/>
        </w:rPr>
        <w:t xml:space="preserve"> </w:t>
      </w:r>
      <w:r w:rsidR="004E3BF0">
        <w:rPr>
          <w:rFonts w:ascii="Times New Roman" w:hAnsi="Times New Roman"/>
          <w:sz w:val="28"/>
          <w:szCs w:val="28"/>
        </w:rPr>
        <w:t>А.А. Кузьмин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6E66" w:rsidRDefault="00236E66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F4611" w:rsidRDefault="009F4611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A53B67" w:rsidRDefault="00A53B6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A53B67" w:rsidRDefault="00A53B6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A53B67" w:rsidRDefault="00A53B6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A53B67" w:rsidRPr="00A35733" w:rsidRDefault="00A53B6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D545D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06B55" w:rsidRDefault="00DC374C" w:rsidP="00B83BE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E477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2E4EE6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4E3BF0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4E3BF0" w:rsidRPr="002E4EE6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6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"/>
        <w:gridCol w:w="1288"/>
        <w:gridCol w:w="110"/>
        <w:gridCol w:w="1591"/>
        <w:gridCol w:w="232"/>
        <w:gridCol w:w="11"/>
        <w:gridCol w:w="1174"/>
        <w:gridCol w:w="233"/>
        <w:gridCol w:w="7"/>
        <w:gridCol w:w="1461"/>
        <w:gridCol w:w="224"/>
        <w:gridCol w:w="7"/>
        <w:gridCol w:w="1045"/>
        <w:gridCol w:w="228"/>
        <w:gridCol w:w="906"/>
        <w:gridCol w:w="284"/>
        <w:gridCol w:w="84"/>
        <w:gridCol w:w="37"/>
        <w:gridCol w:w="730"/>
        <w:gridCol w:w="283"/>
        <w:gridCol w:w="95"/>
        <w:gridCol w:w="26"/>
        <w:gridCol w:w="872"/>
        <w:gridCol w:w="30"/>
        <w:gridCol w:w="33"/>
        <w:gridCol w:w="15"/>
        <w:gridCol w:w="15"/>
        <w:gridCol w:w="15"/>
        <w:gridCol w:w="33"/>
        <w:gridCol w:w="15"/>
        <w:gridCol w:w="45"/>
        <w:gridCol w:w="7"/>
        <w:gridCol w:w="23"/>
        <w:gridCol w:w="15"/>
        <w:gridCol w:w="15"/>
        <w:gridCol w:w="873"/>
        <w:gridCol w:w="28"/>
        <w:gridCol w:w="11"/>
        <w:gridCol w:w="33"/>
        <w:gridCol w:w="15"/>
        <w:gridCol w:w="15"/>
        <w:gridCol w:w="15"/>
        <w:gridCol w:w="24"/>
        <w:gridCol w:w="9"/>
        <w:gridCol w:w="63"/>
        <w:gridCol w:w="30"/>
        <w:gridCol w:w="15"/>
        <w:gridCol w:w="30"/>
        <w:gridCol w:w="983"/>
        <w:gridCol w:w="170"/>
        <w:gridCol w:w="1813"/>
        <w:gridCol w:w="6"/>
      </w:tblGrid>
      <w:tr w:rsidR="004E3BF0" w:rsidRPr="00600815" w:rsidTr="004E3BF0">
        <w:trPr>
          <w:gridAfter w:val="1"/>
          <w:wAfter w:w="6" w:type="dxa"/>
          <w:trHeight w:val="480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E3BF0" w:rsidRPr="00600815" w:rsidTr="004E3BF0">
        <w:trPr>
          <w:gridAfter w:val="1"/>
          <w:wAfter w:w="6" w:type="dxa"/>
          <w:trHeight w:val="8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950" w:type="dxa"/>
            <w:gridSpan w:val="3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</w:trPr>
        <w:tc>
          <w:tcPr>
            <w:tcW w:w="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BF0" w:rsidRPr="00600815" w:rsidTr="004E3BF0">
        <w:trPr>
          <w:gridAfter w:val="1"/>
          <w:wAfter w:w="6" w:type="dxa"/>
          <w:trHeight w:val="714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3026372,066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766531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627 091,3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622 608,8</w:t>
            </w:r>
          </w:p>
        </w:tc>
        <w:tc>
          <w:tcPr>
            <w:tcW w:w="11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принципов финансирования (на основе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4E3BF0" w:rsidRPr="00600815" w:rsidTr="004E3BF0">
        <w:trPr>
          <w:gridAfter w:val="1"/>
          <w:wAfter w:w="6" w:type="dxa"/>
          <w:trHeight w:val="70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61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3A55">
              <w:rPr>
                <w:rFonts w:ascii="Times New Roman" w:hAnsi="Times New Roman"/>
                <w:sz w:val="20"/>
                <w:szCs w:val="20"/>
              </w:rPr>
              <w:t> 945 969,7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388 281,70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2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0D3A55">
              <w:rPr>
                <w:rFonts w:ascii="Times New Roman" w:hAnsi="Times New Roman"/>
                <w:sz w:val="20"/>
                <w:szCs w:val="20"/>
              </w:rPr>
              <w:t>076107,166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766531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241275,066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236 838,0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232 355,5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14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60"/>
        </w:trPr>
        <w:tc>
          <w:tcPr>
            <w:tcW w:w="15662" w:type="dxa"/>
            <w:gridSpan w:val="51"/>
            <w:tcBorders>
              <w:bottom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5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2856165,466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4295,20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766F0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596 384,766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269,20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633,10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439,2</w:t>
            </w: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439,2</w:t>
            </w: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гарантий общедоступности и бесплатности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обучения по образовательным программам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комплексного мониторинга готовности учащихся 8 классов  к выбору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4E3BF0" w:rsidRPr="00600815" w:rsidTr="004E3BF0">
        <w:trPr>
          <w:gridAfter w:val="1"/>
          <w:wAfter w:w="6" w:type="dxa"/>
          <w:trHeight w:val="494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3A55">
              <w:rPr>
                <w:rFonts w:ascii="Times New Roman" w:hAnsi="Times New Roman"/>
                <w:sz w:val="20"/>
                <w:szCs w:val="20"/>
              </w:rPr>
              <w:t> 901 246,4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379 614,80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887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0D3A55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950 623,866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76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766F0C">
              <w:rPr>
                <w:rFonts w:ascii="Times New Roman" w:hAnsi="Times New Roman"/>
                <w:sz w:val="20"/>
                <w:szCs w:val="20"/>
              </w:rPr>
              <w:t> 799,966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208 030,0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204393,9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20"/>
        </w:trPr>
        <w:tc>
          <w:tcPr>
            <w:tcW w:w="15662" w:type="dxa"/>
            <w:gridSpan w:val="5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05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54400D" w:rsidRDefault="00E02C9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718 423,866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151 229,70</w:t>
            </w: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151 590,70</w:t>
            </w: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364 051,0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Предоставление дошкольного образования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0D3A55" w:rsidRDefault="00E02C9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354 372,866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76500,0</w:t>
            </w:r>
          </w:p>
        </w:tc>
        <w:tc>
          <w:tcPr>
            <w:tcW w:w="114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76861,0</w:t>
            </w:r>
          </w:p>
        </w:tc>
        <w:tc>
          <w:tcPr>
            <w:tcW w:w="11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</w:t>
            </w:r>
            <w:r w:rsidR="008264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3"/>
          <w:wAfter w:w="1989" w:type="dxa"/>
          <w:trHeight w:val="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79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8B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8B5EBA">
              <w:rPr>
                <w:rFonts w:ascii="Times New Roman" w:hAnsi="Times New Roman"/>
                <w:sz w:val="20"/>
                <w:szCs w:val="20"/>
              </w:rPr>
              <w:t>854781,60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382 923,30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378 289,70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378 249,20</w:t>
            </w:r>
          </w:p>
        </w:tc>
        <w:tc>
          <w:tcPr>
            <w:tcW w:w="119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920287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4E3BF0" w:rsidRPr="00600815" w:rsidTr="004E3BF0">
        <w:trPr>
          <w:trHeight w:val="40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1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  <w:p w:rsidR="00AC4ADC" w:rsidRPr="00600815" w:rsidRDefault="00AC4ADC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1 385 448,30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8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469 333,30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106113,800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101130,0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101089,50</w:t>
            </w: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61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6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123 346,60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28 400,0</w:t>
            </w:r>
          </w:p>
        </w:tc>
        <w:tc>
          <w:tcPr>
            <w:tcW w:w="1101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  <w:proofErr w:type="gramEnd"/>
          </w:p>
        </w:tc>
      </w:tr>
      <w:tr w:rsidR="004E3BF0" w:rsidRPr="00600815" w:rsidTr="004E3BF0">
        <w:trPr>
          <w:trHeight w:val="55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7C2" w:rsidRPr="00600815" w:rsidTr="004E3BF0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8B5EBA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123 346,60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28 400,0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"Выявление и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и молодежи"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4E3BF0" w:rsidRPr="005A3B76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3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3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67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0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4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0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0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сформированы эффективные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институты самоуправления в профессиональном педагогическом сообществе</w:t>
            </w:r>
            <w:proofErr w:type="gramEnd"/>
          </w:p>
        </w:tc>
      </w:tr>
      <w:tr w:rsidR="004E3BF0" w:rsidRPr="00600815" w:rsidTr="004E3BF0">
        <w:trPr>
          <w:trHeight w:val="8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84"/>
        </w:trPr>
        <w:tc>
          <w:tcPr>
            <w:tcW w:w="3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AD7EB2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AD7EB2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6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EBA">
              <w:rPr>
                <w:rFonts w:ascii="Times New Roman" w:hAnsi="Times New Roman"/>
                <w:sz w:val="20"/>
                <w:szCs w:val="20"/>
              </w:rPr>
              <w:t>3117,10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AD7EB2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образования,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4E3BF0" w:rsidRPr="00600815" w:rsidTr="004E3BF0">
        <w:trPr>
          <w:trHeight w:val="4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4E3BF0" w:rsidRPr="00600815" w:rsidTr="004E3BF0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5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4E3BF0" w:rsidRPr="00600815" w:rsidTr="004E3BF0">
        <w:trPr>
          <w:trHeight w:val="849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737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FF26DB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FF26DB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40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FF26DB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2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/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4E3BF0" w:rsidRPr="00600815" w:rsidTr="004E3BF0">
        <w:trPr>
          <w:trHeight w:val="96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18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/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12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7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реализующие образовательную программу дошкольного образования 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4E3BF0" w:rsidRPr="00600815" w:rsidTr="004E3BF0">
        <w:trPr>
          <w:trHeight w:val="3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72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4E3BF0" w:rsidRPr="00600815" w:rsidTr="004E3BF0">
        <w:trPr>
          <w:trHeight w:val="7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04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02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4E3BF0" w:rsidRPr="00600815" w:rsidTr="004E3BF0">
        <w:trPr>
          <w:trHeight w:val="49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9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09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"Проведение капитального ремонта в спортивных залах расположенных в сельской местности, с целью создания условий для занятий физической культурой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спортом"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направленности, в общей численности населения данной возрастной группы</w:t>
            </w:r>
          </w:p>
        </w:tc>
      </w:tr>
      <w:tr w:rsidR="004E3BF0" w:rsidRPr="00600815" w:rsidTr="004E3BF0">
        <w:trPr>
          <w:trHeight w:val="7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4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7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1A539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21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1A539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59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8B759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44723,3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2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RPr="00600815" w:rsidTr="004E3BF0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2B88" w:rsidRPr="00600815" w:rsidRDefault="00306916" w:rsidP="001C2B88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1C2B88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8B5EBA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13666,90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24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4E3BF0" w:rsidRPr="00600815" w:rsidTr="004E3BF0">
        <w:trPr>
          <w:trHeight w:val="52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44 723,30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RPr="00600815" w:rsidTr="004E3BF0">
        <w:trPr>
          <w:trHeight w:val="60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8B5EBA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Pr="002865AA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2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961B2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4E3BF0" w:rsidRPr="00961B2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физиологическими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улучшение качества питания, обеспечение его безопасности, сбалансированности; позитивная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47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30691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4E3BF0" w:rsidRPr="00600815" w:rsidTr="004E3BF0">
        <w:trPr>
          <w:trHeight w:val="82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7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40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/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701"/>
        <w:gridCol w:w="1275"/>
        <w:gridCol w:w="1276"/>
        <w:gridCol w:w="1134"/>
        <w:gridCol w:w="1125"/>
        <w:gridCol w:w="9"/>
        <w:gridCol w:w="992"/>
        <w:gridCol w:w="1276"/>
        <w:gridCol w:w="1985"/>
      </w:tblGrid>
      <w:tr w:rsidR="004E3BF0" w:rsidTr="004E3BF0">
        <w:trPr>
          <w:trHeight w:val="42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105 743,30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1C2B88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24 438,0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992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 w:val="restart"/>
          </w:tcPr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детей с </w:t>
            </w:r>
            <w:r w:rsidRPr="00C8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4E3BF0" w:rsidTr="004E3BF0">
        <w:trPr>
          <w:trHeight w:val="33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793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3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105 743,30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8B5EBA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24 438,0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1001" w:type="dxa"/>
            <w:gridSpan w:val="2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6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7621,0</w:t>
            </w:r>
          </w:p>
        </w:tc>
        <w:tc>
          <w:tcPr>
            <w:tcW w:w="1276" w:type="dxa"/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4E3BF0" w:rsidRPr="00FE226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4E3BF0" w:rsidRPr="00FE226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8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0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270"/>
        </w:trPr>
        <w:tc>
          <w:tcPr>
            <w:tcW w:w="425" w:type="dxa"/>
            <w:vMerge/>
          </w:tcPr>
          <w:p w:rsidR="001C2B88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Pr="00600815" w:rsidRDefault="001C2B88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1C2B88" w:rsidRPr="00B7673D" w:rsidRDefault="008B5EBA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7621,0</w:t>
            </w:r>
          </w:p>
        </w:tc>
        <w:tc>
          <w:tcPr>
            <w:tcW w:w="1276" w:type="dxa"/>
          </w:tcPr>
          <w:p w:rsidR="001C2B88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9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18 953,50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4433,0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 w:val="restart"/>
          </w:tcPr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428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43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1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18 953,50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4 951,40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001" w:type="dxa"/>
            <w:gridSpan w:val="2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276" w:type="dxa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7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 w:val="restart"/>
          </w:tcPr>
          <w:p w:rsidR="004E3BF0" w:rsidRPr="000E1EA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5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1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390"/>
        </w:trPr>
        <w:tc>
          <w:tcPr>
            <w:tcW w:w="425" w:type="dxa"/>
            <w:vMerge/>
          </w:tcPr>
          <w:p w:rsidR="001C2B88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Pr="00600815" w:rsidRDefault="001C2B88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1C2B88" w:rsidRPr="00B7673D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B88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520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3BF0" w:rsidRPr="001A55DC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 w:val="restart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714"/>
        </w:trPr>
        <w:tc>
          <w:tcPr>
            <w:tcW w:w="425" w:type="dxa"/>
            <w:vMerge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/>
        </w:tc>
        <w:tc>
          <w:tcPr>
            <w:tcW w:w="1276" w:type="dxa"/>
          </w:tcPr>
          <w:p w:rsidR="004E3BF0" w:rsidRDefault="004E3BF0" w:rsidP="004E3BF0"/>
        </w:tc>
        <w:tc>
          <w:tcPr>
            <w:tcW w:w="1985" w:type="dxa"/>
            <w:vMerge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840"/>
        </w:trPr>
        <w:tc>
          <w:tcPr>
            <w:tcW w:w="425" w:type="dxa"/>
            <w:vMerge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/>
        </w:tc>
        <w:tc>
          <w:tcPr>
            <w:tcW w:w="1276" w:type="dxa"/>
          </w:tcPr>
          <w:p w:rsidR="004E3BF0" w:rsidRDefault="004E3BF0" w:rsidP="004E3BF0"/>
        </w:tc>
        <w:tc>
          <w:tcPr>
            <w:tcW w:w="1985" w:type="dxa"/>
            <w:vMerge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759"/>
        </w:trPr>
        <w:tc>
          <w:tcPr>
            <w:tcW w:w="425" w:type="dxa"/>
            <w:vMerge/>
          </w:tcPr>
          <w:p w:rsidR="001C2B88" w:rsidRPr="00486747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Default="001C2B88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1C2B88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1C2B88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2B88" w:rsidRPr="001A55DC" w:rsidRDefault="001C2B88" w:rsidP="0082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973E3" w:rsidRDefault="005973E3" w:rsidP="001759A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sectPr w:rsidR="005973E3" w:rsidSect="00E477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07A9B"/>
    <w:rsid w:val="00034819"/>
    <w:rsid w:val="0003603F"/>
    <w:rsid w:val="00044CBC"/>
    <w:rsid w:val="00046419"/>
    <w:rsid w:val="00061C0B"/>
    <w:rsid w:val="00061EAD"/>
    <w:rsid w:val="00090AD5"/>
    <w:rsid w:val="00091C98"/>
    <w:rsid w:val="00096114"/>
    <w:rsid w:val="000A06F3"/>
    <w:rsid w:val="000D18C2"/>
    <w:rsid w:val="000D3A55"/>
    <w:rsid w:val="000D3B5D"/>
    <w:rsid w:val="000D49B1"/>
    <w:rsid w:val="000E1150"/>
    <w:rsid w:val="000E71C4"/>
    <w:rsid w:val="0012419C"/>
    <w:rsid w:val="00125740"/>
    <w:rsid w:val="00143F8B"/>
    <w:rsid w:val="00150866"/>
    <w:rsid w:val="001569EC"/>
    <w:rsid w:val="00162126"/>
    <w:rsid w:val="00170435"/>
    <w:rsid w:val="00172AA6"/>
    <w:rsid w:val="001759A8"/>
    <w:rsid w:val="00184BF3"/>
    <w:rsid w:val="001B3116"/>
    <w:rsid w:val="001C2B88"/>
    <w:rsid w:val="001C4FED"/>
    <w:rsid w:val="001C7E48"/>
    <w:rsid w:val="001E5104"/>
    <w:rsid w:val="001F0D7C"/>
    <w:rsid w:val="001F18AC"/>
    <w:rsid w:val="001F2C42"/>
    <w:rsid w:val="00204150"/>
    <w:rsid w:val="00204BB9"/>
    <w:rsid w:val="00217905"/>
    <w:rsid w:val="002219E7"/>
    <w:rsid w:val="0023182A"/>
    <w:rsid w:val="00231AA3"/>
    <w:rsid w:val="00236E66"/>
    <w:rsid w:val="002505C1"/>
    <w:rsid w:val="002574AF"/>
    <w:rsid w:val="00267FE5"/>
    <w:rsid w:val="00274033"/>
    <w:rsid w:val="00297C45"/>
    <w:rsid w:val="002B1704"/>
    <w:rsid w:val="002D5E56"/>
    <w:rsid w:val="00306916"/>
    <w:rsid w:val="0031241C"/>
    <w:rsid w:val="00323657"/>
    <w:rsid w:val="003848F3"/>
    <w:rsid w:val="00395B2F"/>
    <w:rsid w:val="0039625E"/>
    <w:rsid w:val="003A102A"/>
    <w:rsid w:val="003A1838"/>
    <w:rsid w:val="003A2039"/>
    <w:rsid w:val="003D7DF9"/>
    <w:rsid w:val="003E2530"/>
    <w:rsid w:val="003E7E73"/>
    <w:rsid w:val="003F589C"/>
    <w:rsid w:val="00406435"/>
    <w:rsid w:val="00470F18"/>
    <w:rsid w:val="00472A82"/>
    <w:rsid w:val="00482D4D"/>
    <w:rsid w:val="004B2494"/>
    <w:rsid w:val="004B702E"/>
    <w:rsid w:val="004B786B"/>
    <w:rsid w:val="004C2AD1"/>
    <w:rsid w:val="004E1CC9"/>
    <w:rsid w:val="004E3BF0"/>
    <w:rsid w:val="00501A35"/>
    <w:rsid w:val="00556717"/>
    <w:rsid w:val="005767C2"/>
    <w:rsid w:val="00577DB1"/>
    <w:rsid w:val="00591165"/>
    <w:rsid w:val="00592D77"/>
    <w:rsid w:val="005973E3"/>
    <w:rsid w:val="005D023C"/>
    <w:rsid w:val="005F3C19"/>
    <w:rsid w:val="006009A0"/>
    <w:rsid w:val="006548B0"/>
    <w:rsid w:val="00655B4D"/>
    <w:rsid w:val="006569AD"/>
    <w:rsid w:val="00672FD9"/>
    <w:rsid w:val="00673F56"/>
    <w:rsid w:val="006A07D0"/>
    <w:rsid w:val="006A46F4"/>
    <w:rsid w:val="006A5987"/>
    <w:rsid w:val="006B2A95"/>
    <w:rsid w:val="006B4CB7"/>
    <w:rsid w:val="006C33ED"/>
    <w:rsid w:val="00730276"/>
    <w:rsid w:val="00747239"/>
    <w:rsid w:val="0076281E"/>
    <w:rsid w:val="00766531"/>
    <w:rsid w:val="00766F0C"/>
    <w:rsid w:val="0078761D"/>
    <w:rsid w:val="007928D6"/>
    <w:rsid w:val="007A5F54"/>
    <w:rsid w:val="007A601D"/>
    <w:rsid w:val="007C6151"/>
    <w:rsid w:val="007C6FE6"/>
    <w:rsid w:val="007E0093"/>
    <w:rsid w:val="007E1E17"/>
    <w:rsid w:val="007E359C"/>
    <w:rsid w:val="007E5F5E"/>
    <w:rsid w:val="007F2B46"/>
    <w:rsid w:val="00826426"/>
    <w:rsid w:val="008371C2"/>
    <w:rsid w:val="00844F25"/>
    <w:rsid w:val="008465C7"/>
    <w:rsid w:val="0085324D"/>
    <w:rsid w:val="0087784C"/>
    <w:rsid w:val="00880250"/>
    <w:rsid w:val="008B5EBA"/>
    <w:rsid w:val="008C0BCB"/>
    <w:rsid w:val="008E34FB"/>
    <w:rsid w:val="008E67FF"/>
    <w:rsid w:val="008F26C6"/>
    <w:rsid w:val="00920287"/>
    <w:rsid w:val="00922485"/>
    <w:rsid w:val="00923FA6"/>
    <w:rsid w:val="0093709E"/>
    <w:rsid w:val="00937ADF"/>
    <w:rsid w:val="0097697A"/>
    <w:rsid w:val="00987CFB"/>
    <w:rsid w:val="00997452"/>
    <w:rsid w:val="009A4AD7"/>
    <w:rsid w:val="009B0BD0"/>
    <w:rsid w:val="009B33F8"/>
    <w:rsid w:val="009C2456"/>
    <w:rsid w:val="009F1C8E"/>
    <w:rsid w:val="009F1DA5"/>
    <w:rsid w:val="009F4611"/>
    <w:rsid w:val="00A111F6"/>
    <w:rsid w:val="00A30A2F"/>
    <w:rsid w:val="00A35733"/>
    <w:rsid w:val="00A456E5"/>
    <w:rsid w:val="00A53B67"/>
    <w:rsid w:val="00A616E6"/>
    <w:rsid w:val="00A80EDC"/>
    <w:rsid w:val="00A904BD"/>
    <w:rsid w:val="00AB2040"/>
    <w:rsid w:val="00AB5180"/>
    <w:rsid w:val="00AC4ADC"/>
    <w:rsid w:val="00AC729F"/>
    <w:rsid w:val="00AD7EB2"/>
    <w:rsid w:val="00AF03C5"/>
    <w:rsid w:val="00AF55B0"/>
    <w:rsid w:val="00B0286F"/>
    <w:rsid w:val="00B44AF5"/>
    <w:rsid w:val="00B46156"/>
    <w:rsid w:val="00B76B44"/>
    <w:rsid w:val="00B76C10"/>
    <w:rsid w:val="00B77EC1"/>
    <w:rsid w:val="00B83BEA"/>
    <w:rsid w:val="00BA69B3"/>
    <w:rsid w:val="00BE1A2C"/>
    <w:rsid w:val="00BF36F8"/>
    <w:rsid w:val="00BF6C3A"/>
    <w:rsid w:val="00C240B2"/>
    <w:rsid w:val="00C240C5"/>
    <w:rsid w:val="00C52E97"/>
    <w:rsid w:val="00C64849"/>
    <w:rsid w:val="00C73422"/>
    <w:rsid w:val="00CA3B2A"/>
    <w:rsid w:val="00CB2729"/>
    <w:rsid w:val="00CD4746"/>
    <w:rsid w:val="00CE6F23"/>
    <w:rsid w:val="00CF0184"/>
    <w:rsid w:val="00D026DE"/>
    <w:rsid w:val="00D2370D"/>
    <w:rsid w:val="00D318A5"/>
    <w:rsid w:val="00D37E97"/>
    <w:rsid w:val="00D545D5"/>
    <w:rsid w:val="00D5520A"/>
    <w:rsid w:val="00D55CD5"/>
    <w:rsid w:val="00D60FD1"/>
    <w:rsid w:val="00D63085"/>
    <w:rsid w:val="00D93517"/>
    <w:rsid w:val="00DB418F"/>
    <w:rsid w:val="00DB5D59"/>
    <w:rsid w:val="00DC2956"/>
    <w:rsid w:val="00DC374C"/>
    <w:rsid w:val="00DE57A9"/>
    <w:rsid w:val="00E010AB"/>
    <w:rsid w:val="00E02C90"/>
    <w:rsid w:val="00E32755"/>
    <w:rsid w:val="00E40B8C"/>
    <w:rsid w:val="00E442DA"/>
    <w:rsid w:val="00E47774"/>
    <w:rsid w:val="00E52477"/>
    <w:rsid w:val="00E767F9"/>
    <w:rsid w:val="00E8003B"/>
    <w:rsid w:val="00E80827"/>
    <w:rsid w:val="00E90127"/>
    <w:rsid w:val="00E95353"/>
    <w:rsid w:val="00EA3049"/>
    <w:rsid w:val="00EC0A4A"/>
    <w:rsid w:val="00EE4D94"/>
    <w:rsid w:val="00EF2305"/>
    <w:rsid w:val="00F23888"/>
    <w:rsid w:val="00F3023E"/>
    <w:rsid w:val="00F5363C"/>
    <w:rsid w:val="00F66AD8"/>
    <w:rsid w:val="00F91F65"/>
    <w:rsid w:val="00FB305E"/>
    <w:rsid w:val="00FE51A3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0EE3-2DD7-4197-B5DA-54D82B8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-</cp:lastModifiedBy>
  <cp:revision>2</cp:revision>
  <cp:lastPrinted>2017-03-31T10:00:00Z</cp:lastPrinted>
  <dcterms:created xsi:type="dcterms:W3CDTF">2017-04-04T07:30:00Z</dcterms:created>
  <dcterms:modified xsi:type="dcterms:W3CDTF">2017-04-04T07:30:00Z</dcterms:modified>
</cp:coreProperties>
</file>