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5"/>
      </w:tblGrid>
      <w:tr w:rsidR="00A83765" w:rsidRPr="00897632" w:rsidTr="00D4195B">
        <w:tc>
          <w:tcPr>
            <w:tcW w:w="9125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A5CA0" w:rsidRPr="003A5CA0" w:rsidRDefault="00B61845" w:rsidP="003A5C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B61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19.12.</w:t>
                  </w:r>
                  <w:r w:rsidR="003A5CA0" w:rsidRPr="003A5C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3272-п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6A264D" w:rsidRDefault="006A264D" w:rsidP="00835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D4195B" w:rsidRPr="006A264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0C328C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4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Илецкого городского округа от </w:t>
      </w:r>
      <w:r w:rsidR="00D419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4A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.03.2016 №8</w:t>
      </w:r>
      <w:r w:rsidR="001A4AE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1A4AE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развития жилищного строительства в Соль-Илецком городском округе Оренбургской области в 2016-2020 годах»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№411-п «Об утверждении перечня муниципальных программ  муниципального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>риложение</w:t>
      </w:r>
      <w:r w:rsidR="001A4AE9">
        <w:rPr>
          <w:rFonts w:ascii="Times New Roman" w:hAnsi="Times New Roman"/>
          <w:sz w:val="28"/>
          <w:szCs w:val="28"/>
        </w:rPr>
        <w:t xml:space="preserve"> </w:t>
      </w:r>
      <w:r w:rsidR="00436193">
        <w:rPr>
          <w:rFonts w:ascii="Times New Roman" w:hAnsi="Times New Roman"/>
          <w:sz w:val="28"/>
          <w:szCs w:val="28"/>
        </w:rPr>
        <w:t>1</w:t>
      </w:r>
      <w:r w:rsidR="00C30F71" w:rsidRPr="007A23C6">
        <w:rPr>
          <w:rFonts w:ascii="Times New Roman" w:hAnsi="Times New Roman"/>
          <w:sz w:val="28"/>
          <w:szCs w:val="28"/>
        </w:rPr>
        <w:t xml:space="preserve"> к </w:t>
      </w:r>
      <w:r w:rsidR="001A4AE9">
        <w:rPr>
          <w:rFonts w:ascii="Times New Roman" w:hAnsi="Times New Roman"/>
          <w:sz w:val="28"/>
          <w:szCs w:val="28"/>
        </w:rPr>
        <w:t xml:space="preserve">муниципальной программе «Стимулирование жилищного строительства в Соль-Илецком </w:t>
      </w:r>
      <w:proofErr w:type="gramStart"/>
      <w:r w:rsidR="001A4AE9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округе Оренбургской области в 2016-2020 годах»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36193" w:rsidRDefault="00894894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A4AE9" w:rsidRPr="001A4AE9">
        <w:rPr>
          <w:rFonts w:ascii="Times New Roman" w:hAnsi="Times New Roman"/>
          <w:sz w:val="28"/>
          <w:szCs w:val="28"/>
        </w:rPr>
        <w:t xml:space="preserve"> </w:t>
      </w:r>
      <w:r w:rsidR="004C73D7">
        <w:rPr>
          <w:rFonts w:ascii="Times New Roman" w:hAnsi="Times New Roman"/>
          <w:sz w:val="28"/>
          <w:szCs w:val="28"/>
        </w:rPr>
        <w:t>В</w:t>
      </w:r>
      <w:r w:rsidR="00436193">
        <w:rPr>
          <w:rFonts w:ascii="Times New Roman" w:hAnsi="Times New Roman"/>
          <w:sz w:val="28"/>
          <w:szCs w:val="28"/>
        </w:rPr>
        <w:t xml:space="preserve"> разделе паспорта Программы «Объем</w:t>
      </w:r>
      <w:r w:rsidR="00F1484A">
        <w:rPr>
          <w:rFonts w:ascii="Times New Roman" w:hAnsi="Times New Roman"/>
          <w:sz w:val="28"/>
          <w:szCs w:val="28"/>
        </w:rPr>
        <w:t>ы</w:t>
      </w:r>
      <w:r w:rsidR="00436193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F1484A">
        <w:rPr>
          <w:rFonts w:ascii="Times New Roman" w:hAnsi="Times New Roman"/>
          <w:sz w:val="28"/>
          <w:szCs w:val="28"/>
        </w:rPr>
        <w:t>П</w:t>
      </w:r>
      <w:r w:rsidR="00436193">
        <w:rPr>
          <w:rFonts w:ascii="Times New Roman" w:hAnsi="Times New Roman"/>
          <w:sz w:val="28"/>
          <w:szCs w:val="28"/>
        </w:rPr>
        <w:t>рограммы»: цифры «354700,70 тыс</w:t>
      </w:r>
      <w:proofErr w:type="gramStart"/>
      <w:r w:rsidR="00436193">
        <w:rPr>
          <w:rFonts w:ascii="Times New Roman" w:hAnsi="Times New Roman"/>
          <w:sz w:val="28"/>
          <w:szCs w:val="28"/>
        </w:rPr>
        <w:t>.р</w:t>
      </w:r>
      <w:proofErr w:type="gramEnd"/>
      <w:r w:rsidR="00436193">
        <w:rPr>
          <w:rFonts w:ascii="Times New Roman" w:hAnsi="Times New Roman"/>
          <w:sz w:val="28"/>
          <w:szCs w:val="28"/>
        </w:rPr>
        <w:t>уб.» заменить на цифры «352872,84 тыс.руб.», слова  «2017 год – 13486,10 тыс.руб., из них средства областного бюджета – 9654,70 тыс.руб., местного бюджета – 3831,40 тыс.руб.» заменить на «2017 год – 11658,24 тыс.руб., из них средства областного бюджета – 6680,11 тыс.руб., местного бюджета – 4978,13 тыс.руб.»</w:t>
      </w:r>
      <w:r w:rsidR="001401F9">
        <w:rPr>
          <w:rFonts w:ascii="Times New Roman" w:hAnsi="Times New Roman"/>
          <w:sz w:val="28"/>
          <w:szCs w:val="28"/>
        </w:rPr>
        <w:t>;</w:t>
      </w:r>
    </w:p>
    <w:p w:rsidR="003841C5" w:rsidRDefault="00436193" w:rsidP="003841C5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841C5">
        <w:rPr>
          <w:rFonts w:ascii="Times New Roman" w:hAnsi="Times New Roman"/>
          <w:sz w:val="28"/>
          <w:szCs w:val="28"/>
        </w:rPr>
        <w:t xml:space="preserve">Абзац 1 раздела «Ресурсное обеспечение реализации муниципальной Программы» </w:t>
      </w:r>
      <w:r w:rsidR="003841C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3841C5">
        <w:rPr>
          <w:rFonts w:ascii="Times New Roman" w:hAnsi="Times New Roman"/>
          <w:sz w:val="28"/>
          <w:szCs w:val="28"/>
        </w:rPr>
        <w:t>: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41C5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2016 - 2020 годах составляет 3</w:t>
      </w:r>
      <w:r w:rsidR="00137D1B">
        <w:rPr>
          <w:rFonts w:ascii="Times New Roman" w:hAnsi="Times New Roman" w:cs="Times New Roman"/>
          <w:sz w:val="28"/>
          <w:szCs w:val="28"/>
        </w:rPr>
        <w:t>53181,73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C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2016 год – 2393,60тыс. рублей, из них средства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lastRenderedPageBreak/>
        <w:t xml:space="preserve"> областного бюджета – 353,0тыс.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 2040,60тыс.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2017 год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7D1B">
        <w:rPr>
          <w:rFonts w:ascii="Times New Roman" w:hAnsi="Times New Roman" w:cs="Times New Roman"/>
          <w:sz w:val="28"/>
          <w:szCs w:val="28"/>
        </w:rPr>
        <w:t>967,13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рублей, из них средства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7D1B">
        <w:rPr>
          <w:rFonts w:ascii="Times New Roman" w:hAnsi="Times New Roman" w:cs="Times New Roman"/>
          <w:sz w:val="28"/>
          <w:szCs w:val="28"/>
        </w:rPr>
        <w:t>989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</w:t>
      </w:r>
      <w:r>
        <w:rPr>
          <w:rFonts w:ascii="Times New Roman" w:hAnsi="Times New Roman" w:cs="Times New Roman"/>
          <w:sz w:val="28"/>
          <w:szCs w:val="28"/>
        </w:rPr>
        <w:t>4978,13</w:t>
      </w:r>
      <w:r w:rsidRPr="003841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2018 год – 54806,0 тыс. рублей, из них средства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-областного бюджета 51578,00 тыс</w:t>
      </w:r>
      <w:proofErr w:type="gramStart"/>
      <w:r w:rsidRPr="003841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41C5"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-местного бюджета 3228,0 тыс</w:t>
      </w:r>
      <w:proofErr w:type="gramStart"/>
      <w:r w:rsidRPr="003841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41C5">
        <w:rPr>
          <w:rFonts w:ascii="Times New Roman" w:hAnsi="Times New Roman" w:cs="Times New Roman"/>
          <w:sz w:val="28"/>
          <w:szCs w:val="28"/>
        </w:rPr>
        <w:t>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2019 год – 26695,0 тыс. рублей из них средства,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– областного бюджета 24193,00тыс.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>- местного бюджета – 2502,0 тыс. рублей;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2020 год – 257 320,0 тыс. рублей, из них средства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областного бюджета – 239808,0тыс. рублей, </w:t>
      </w:r>
    </w:p>
    <w:p w:rsidR="003841C5" w:rsidRPr="003841C5" w:rsidRDefault="003841C5" w:rsidP="0038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C5">
        <w:rPr>
          <w:rFonts w:ascii="Times New Roman" w:hAnsi="Times New Roman" w:cs="Times New Roman"/>
          <w:sz w:val="28"/>
          <w:szCs w:val="28"/>
        </w:rPr>
        <w:t xml:space="preserve"> местного бюджета – 17 512,0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1F9">
        <w:rPr>
          <w:rFonts w:ascii="Times New Roman" w:hAnsi="Times New Roman" w:cs="Times New Roman"/>
          <w:sz w:val="28"/>
          <w:szCs w:val="28"/>
        </w:rPr>
        <w:t>;</w:t>
      </w:r>
    </w:p>
    <w:p w:rsidR="001A4AE9" w:rsidRDefault="003841C5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C73D7">
        <w:rPr>
          <w:rFonts w:ascii="Times New Roman" w:hAnsi="Times New Roman"/>
          <w:sz w:val="28"/>
          <w:szCs w:val="28"/>
        </w:rPr>
        <w:t>П</w:t>
      </w:r>
      <w:r w:rsidR="001A4AE9" w:rsidRPr="007A23C6">
        <w:rPr>
          <w:rFonts w:ascii="Times New Roman" w:hAnsi="Times New Roman"/>
          <w:sz w:val="28"/>
          <w:szCs w:val="28"/>
        </w:rPr>
        <w:t>риложение</w:t>
      </w:r>
      <w:r w:rsidR="001A4AE9">
        <w:rPr>
          <w:rFonts w:ascii="Times New Roman" w:hAnsi="Times New Roman"/>
          <w:sz w:val="28"/>
          <w:szCs w:val="28"/>
        </w:rPr>
        <w:t xml:space="preserve"> 3</w:t>
      </w:r>
      <w:r w:rsidR="001A4AE9" w:rsidRPr="007A23C6">
        <w:rPr>
          <w:rFonts w:ascii="Times New Roman" w:hAnsi="Times New Roman"/>
          <w:sz w:val="28"/>
          <w:szCs w:val="28"/>
        </w:rPr>
        <w:t xml:space="preserve"> к </w:t>
      </w:r>
      <w:r w:rsidR="001A4AE9">
        <w:rPr>
          <w:rFonts w:ascii="Times New Roman" w:hAnsi="Times New Roman"/>
          <w:sz w:val="28"/>
          <w:szCs w:val="28"/>
        </w:rPr>
        <w:t xml:space="preserve">муниципальной программе «Стимулирование жилищного строительства </w:t>
      </w:r>
      <w:proofErr w:type="gramStart"/>
      <w:r w:rsidR="001A4AE9">
        <w:rPr>
          <w:rFonts w:ascii="Times New Roman" w:hAnsi="Times New Roman"/>
          <w:sz w:val="28"/>
          <w:szCs w:val="28"/>
        </w:rPr>
        <w:t>в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4AE9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1A4AE9">
        <w:rPr>
          <w:rFonts w:ascii="Times New Roman" w:hAnsi="Times New Roman"/>
          <w:sz w:val="28"/>
          <w:szCs w:val="28"/>
        </w:rPr>
        <w:t xml:space="preserve"> городском округе Оренбургской области в 2016-2020 годах» изложить в новой редакции согласно приложению</w:t>
      </w:r>
      <w:r w:rsidR="001401F9">
        <w:rPr>
          <w:rFonts w:ascii="Times New Roman" w:hAnsi="Times New Roman"/>
          <w:sz w:val="28"/>
          <w:szCs w:val="28"/>
        </w:rPr>
        <w:t>;</w:t>
      </w:r>
    </w:p>
    <w:p w:rsidR="00260191" w:rsidRDefault="00260191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1.4. в строке 1 </w:t>
      </w:r>
      <w:r w:rsidR="00186ADD">
        <w:rPr>
          <w:rFonts w:ascii="Times New Roman" w:hAnsi="Times New Roman"/>
          <w:sz w:val="28"/>
          <w:szCs w:val="28"/>
        </w:rPr>
        <w:t xml:space="preserve">таблицы 3 </w:t>
      </w:r>
      <w:r>
        <w:rPr>
          <w:rFonts w:ascii="Times New Roman" w:hAnsi="Times New Roman"/>
          <w:sz w:val="28"/>
          <w:szCs w:val="28"/>
        </w:rPr>
        <w:t>приложения 4</w:t>
      </w:r>
      <w:r w:rsidRPr="007A23C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 программе «Стимулирование жилищного строительства в Соль-Илецком городском округе Оренбургской области в 2016-2020 годах» цифру «354700,70» заменить на «35</w:t>
      </w:r>
      <w:r w:rsidR="00826A6B">
        <w:rPr>
          <w:rFonts w:ascii="Times New Roman" w:hAnsi="Times New Roman"/>
          <w:sz w:val="28"/>
          <w:szCs w:val="28"/>
        </w:rPr>
        <w:t>3181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», цифру «13486,10» заменить на «11</w:t>
      </w:r>
      <w:r w:rsidR="00826A6B">
        <w:rPr>
          <w:rFonts w:ascii="Times New Roman" w:hAnsi="Times New Roman"/>
          <w:sz w:val="28"/>
          <w:szCs w:val="28"/>
        </w:rPr>
        <w:t>967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», цифру «325586,70» заменить на «3</w:t>
      </w:r>
      <w:r w:rsidR="00802D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26A6B">
        <w:rPr>
          <w:rFonts w:ascii="Times New Roman" w:hAnsi="Times New Roman"/>
          <w:sz w:val="28"/>
          <w:szCs w:val="28"/>
        </w:rPr>
        <w:t>921</w:t>
      </w:r>
      <w:r>
        <w:rPr>
          <w:rFonts w:ascii="Times New Roman" w:hAnsi="Times New Roman"/>
          <w:sz w:val="28"/>
          <w:szCs w:val="28"/>
        </w:rPr>
        <w:t>»,</w:t>
      </w:r>
      <w:r w:rsidR="00802D4D">
        <w:rPr>
          <w:rFonts w:ascii="Times New Roman" w:hAnsi="Times New Roman"/>
          <w:sz w:val="28"/>
          <w:szCs w:val="28"/>
        </w:rPr>
        <w:t xml:space="preserve"> цифр</w:t>
      </w:r>
      <w:r w:rsidR="001176EB">
        <w:rPr>
          <w:rFonts w:ascii="Times New Roman" w:hAnsi="Times New Roman"/>
          <w:sz w:val="28"/>
          <w:szCs w:val="28"/>
        </w:rPr>
        <w:t>у</w:t>
      </w:r>
      <w:r w:rsidR="00802D4D">
        <w:rPr>
          <w:rFonts w:ascii="Times New Roman" w:hAnsi="Times New Roman"/>
          <w:sz w:val="28"/>
          <w:szCs w:val="28"/>
        </w:rPr>
        <w:t xml:space="preserve"> «9654,70» </w:t>
      </w:r>
      <w:r w:rsidR="000648DF">
        <w:rPr>
          <w:rFonts w:ascii="Times New Roman" w:hAnsi="Times New Roman"/>
          <w:sz w:val="28"/>
          <w:szCs w:val="28"/>
        </w:rPr>
        <w:t xml:space="preserve">заменить </w:t>
      </w:r>
      <w:r w:rsidR="00802D4D">
        <w:rPr>
          <w:rFonts w:ascii="Times New Roman" w:hAnsi="Times New Roman"/>
          <w:sz w:val="28"/>
          <w:szCs w:val="28"/>
        </w:rPr>
        <w:t>на цифр</w:t>
      </w:r>
      <w:r w:rsidR="001176EB">
        <w:rPr>
          <w:rFonts w:ascii="Times New Roman" w:hAnsi="Times New Roman"/>
          <w:sz w:val="28"/>
          <w:szCs w:val="28"/>
        </w:rPr>
        <w:t>у</w:t>
      </w:r>
      <w:r w:rsidR="00802D4D">
        <w:rPr>
          <w:rFonts w:ascii="Times New Roman" w:hAnsi="Times New Roman"/>
          <w:sz w:val="28"/>
          <w:szCs w:val="28"/>
        </w:rPr>
        <w:t xml:space="preserve"> «6</w:t>
      </w:r>
      <w:r w:rsidR="00826A6B">
        <w:rPr>
          <w:rFonts w:ascii="Times New Roman" w:hAnsi="Times New Roman"/>
          <w:sz w:val="28"/>
          <w:szCs w:val="28"/>
        </w:rPr>
        <w:t>989</w:t>
      </w:r>
      <w:r w:rsidR="00802D4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802D4D">
        <w:rPr>
          <w:rFonts w:ascii="Times New Roman" w:hAnsi="Times New Roman"/>
          <w:sz w:val="28"/>
          <w:szCs w:val="28"/>
        </w:rPr>
        <w:t>цифру «</w:t>
      </w:r>
      <w:r w:rsidR="000648DF">
        <w:rPr>
          <w:rFonts w:ascii="Times New Roman" w:hAnsi="Times New Roman"/>
          <w:sz w:val="28"/>
          <w:szCs w:val="28"/>
        </w:rPr>
        <w:t>2</w:t>
      </w:r>
      <w:r w:rsidR="00802D4D">
        <w:rPr>
          <w:rFonts w:ascii="Times New Roman" w:hAnsi="Times New Roman"/>
          <w:sz w:val="28"/>
          <w:szCs w:val="28"/>
        </w:rPr>
        <w:t>9114,00» заменить на «30260,73», цифру «3831,40» заменить на «4978,13»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648DF" w:rsidRDefault="000648DF" w:rsidP="00436193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строках 48,49</w:t>
      </w:r>
      <w:r w:rsidR="00137D1B">
        <w:rPr>
          <w:rFonts w:ascii="Times New Roman" w:hAnsi="Times New Roman"/>
          <w:sz w:val="28"/>
          <w:szCs w:val="28"/>
        </w:rPr>
        <w:t>,50</w:t>
      </w:r>
      <w:r>
        <w:rPr>
          <w:rFonts w:ascii="Times New Roman" w:hAnsi="Times New Roman"/>
          <w:sz w:val="28"/>
          <w:szCs w:val="28"/>
        </w:rPr>
        <w:t xml:space="preserve"> </w:t>
      </w:r>
      <w:r w:rsidR="001176EB">
        <w:rPr>
          <w:rFonts w:ascii="Times New Roman" w:hAnsi="Times New Roman"/>
          <w:sz w:val="28"/>
          <w:szCs w:val="28"/>
        </w:rPr>
        <w:t xml:space="preserve">таблицы 3 </w:t>
      </w:r>
      <w:r>
        <w:rPr>
          <w:rFonts w:ascii="Times New Roman" w:hAnsi="Times New Roman"/>
          <w:sz w:val="28"/>
          <w:szCs w:val="28"/>
        </w:rPr>
        <w:t>приложения 4</w:t>
      </w:r>
      <w:r w:rsidRPr="007A23C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«Стимулирование жилищного строительства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Оренбургской области в 2016-2020 годах» цифру «1006</w:t>
      </w:r>
      <w:r w:rsidR="00826A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826A6B">
        <w:rPr>
          <w:rFonts w:ascii="Times New Roman" w:hAnsi="Times New Roman"/>
          <w:sz w:val="28"/>
          <w:szCs w:val="28"/>
        </w:rPr>
        <w:t>8546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», цифру «1005</w:t>
      </w:r>
      <w:r w:rsidR="00826A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826A6B">
        <w:rPr>
          <w:rFonts w:ascii="Times New Roman" w:hAnsi="Times New Roman"/>
          <w:sz w:val="28"/>
          <w:szCs w:val="28"/>
        </w:rPr>
        <w:t>8538</w:t>
      </w:r>
      <w:r>
        <w:rPr>
          <w:rFonts w:ascii="Times New Roman" w:hAnsi="Times New Roman"/>
          <w:sz w:val="28"/>
          <w:szCs w:val="28"/>
        </w:rPr>
        <w:t>,</w:t>
      </w:r>
      <w:r w:rsidR="00826A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», цифр</w:t>
      </w:r>
      <w:r w:rsidR="001176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6A6B">
        <w:rPr>
          <w:rFonts w:ascii="Times New Roman" w:hAnsi="Times New Roman"/>
          <w:sz w:val="28"/>
          <w:szCs w:val="28"/>
        </w:rPr>
        <w:t>9654,70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1401F9">
        <w:rPr>
          <w:rFonts w:ascii="Times New Roman" w:hAnsi="Times New Roman"/>
          <w:sz w:val="28"/>
          <w:szCs w:val="28"/>
        </w:rPr>
        <w:t>6</w:t>
      </w:r>
      <w:r w:rsidR="00037C82">
        <w:rPr>
          <w:rFonts w:ascii="Times New Roman" w:hAnsi="Times New Roman"/>
          <w:sz w:val="28"/>
          <w:szCs w:val="28"/>
        </w:rPr>
        <w:t>989</w:t>
      </w:r>
      <w:r>
        <w:rPr>
          <w:rFonts w:ascii="Times New Roman" w:hAnsi="Times New Roman"/>
          <w:sz w:val="28"/>
          <w:szCs w:val="28"/>
        </w:rPr>
        <w:t>», цифру «</w:t>
      </w:r>
      <w:r w:rsidR="001401F9">
        <w:rPr>
          <w:rFonts w:ascii="Times New Roman" w:hAnsi="Times New Roman"/>
          <w:sz w:val="28"/>
          <w:szCs w:val="28"/>
        </w:rPr>
        <w:t>410,</w:t>
      </w:r>
      <w:r w:rsidR="00826A6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1401F9">
        <w:rPr>
          <w:rFonts w:ascii="Times New Roman" w:hAnsi="Times New Roman"/>
          <w:sz w:val="28"/>
          <w:szCs w:val="28"/>
        </w:rPr>
        <w:t>1557,13</w:t>
      </w:r>
      <w:r>
        <w:rPr>
          <w:rFonts w:ascii="Times New Roman" w:hAnsi="Times New Roman"/>
          <w:sz w:val="28"/>
          <w:szCs w:val="28"/>
        </w:rPr>
        <w:t>»,  цифру «</w:t>
      </w:r>
      <w:r w:rsidR="00137D1B">
        <w:rPr>
          <w:rFonts w:ascii="Times New Roman" w:hAnsi="Times New Roman"/>
          <w:sz w:val="28"/>
          <w:szCs w:val="28"/>
        </w:rPr>
        <w:t>402,40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1401F9">
        <w:rPr>
          <w:rFonts w:ascii="Times New Roman" w:hAnsi="Times New Roman"/>
          <w:sz w:val="28"/>
          <w:szCs w:val="28"/>
        </w:rPr>
        <w:t>1549,13</w:t>
      </w:r>
      <w:r w:rsidR="00826A6B">
        <w:rPr>
          <w:rFonts w:ascii="Times New Roman" w:hAnsi="Times New Roman"/>
          <w:sz w:val="28"/>
          <w:szCs w:val="28"/>
        </w:rPr>
        <w:t>»</w:t>
      </w:r>
      <w:r w:rsidR="001401F9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3841C5">
        <w:rPr>
          <w:szCs w:val="28"/>
        </w:rPr>
        <w:t xml:space="preserve">настоящего </w:t>
      </w:r>
      <w:r w:rsidRPr="007A23C6">
        <w:rPr>
          <w:szCs w:val="28"/>
        </w:rPr>
        <w:t xml:space="preserve">постановления </w:t>
      </w:r>
      <w:r w:rsidR="003841C5">
        <w:rPr>
          <w:szCs w:val="28"/>
        </w:rPr>
        <w:t>оставляю за собой</w:t>
      </w:r>
      <w:r w:rsidRPr="007A23C6">
        <w:rPr>
          <w:szCs w:val="28"/>
        </w:rPr>
        <w:t>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1A1CA1" w:rsidRPr="003813B9" w:rsidRDefault="001A1CA1" w:rsidP="001A1CA1">
      <w:pPr>
        <w:pStyle w:val="ConsNormal"/>
        <w:widowControl/>
        <w:ind w:right="-9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CA1" w:rsidRDefault="001A1CA1" w:rsidP="001A1CA1">
      <w:pPr>
        <w:pStyle w:val="ConsNormal"/>
        <w:widowControl/>
        <w:ind w:right="-99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1A1CA1" w:rsidRDefault="001A1CA1" w:rsidP="001A1CA1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841C5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</w:t>
      </w:r>
      <w:r w:rsidR="003841C5">
        <w:rPr>
          <w:rFonts w:ascii="Times New Roman" w:hAnsi="Times New Roman" w:cs="Times New Roman"/>
          <w:sz w:val="20"/>
          <w:szCs w:val="20"/>
        </w:rPr>
        <w:t xml:space="preserve"> по строительству, транспоту, ЖКХ, дорожному хозяйству, газификации и связи, МКУ «Централизованная бухгалтерия МО Соль-Илецкий городской округ», финансовое управление, отдел </w:t>
      </w:r>
      <w:r>
        <w:rPr>
          <w:rFonts w:ascii="Times New Roman" w:hAnsi="Times New Roman" w:cs="Times New Roman"/>
          <w:sz w:val="20"/>
          <w:szCs w:val="20"/>
        </w:rPr>
        <w:t>по жилищным и социальным вопросам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D419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</w:p>
    <w:p w:rsidR="00451CE5" w:rsidRPr="003813B9" w:rsidRDefault="00451CE5" w:rsidP="00451CE5">
      <w:pPr>
        <w:ind w:left="5245"/>
        <w:rPr>
          <w:rFonts w:ascii="Times New Roman" w:hAnsi="Times New Roman"/>
          <w:sz w:val="28"/>
          <w:szCs w:val="28"/>
        </w:rPr>
      </w:pPr>
      <w:r w:rsidRPr="003813B9">
        <w:rPr>
          <w:rFonts w:ascii="Times New Roman" w:hAnsi="Times New Roman"/>
          <w:sz w:val="28"/>
          <w:szCs w:val="28"/>
        </w:rPr>
        <w:t xml:space="preserve">от </w:t>
      </w:r>
      <w:r w:rsidR="0043196C">
        <w:rPr>
          <w:rFonts w:ascii="Times New Roman" w:hAnsi="Times New Roman"/>
          <w:sz w:val="28"/>
          <w:szCs w:val="28"/>
        </w:rPr>
        <w:t>19.12.</w:t>
      </w:r>
      <w:r w:rsidRPr="003813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3813B9">
        <w:rPr>
          <w:rFonts w:ascii="Times New Roman" w:hAnsi="Times New Roman"/>
          <w:sz w:val="28"/>
          <w:szCs w:val="28"/>
        </w:rPr>
        <w:t xml:space="preserve">г. № </w:t>
      </w:r>
      <w:r w:rsidR="0043196C">
        <w:rPr>
          <w:rFonts w:ascii="Times New Roman" w:hAnsi="Times New Roman"/>
          <w:sz w:val="28"/>
          <w:szCs w:val="28"/>
        </w:rPr>
        <w:t>3272-п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1CE5" w:rsidRPr="0019450C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451CE5" w:rsidRPr="0019450C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 2016</w:t>
      </w:r>
      <w:r>
        <w:rPr>
          <w:rFonts w:ascii="Times New Roman" w:hAnsi="Times New Roman" w:cs="Times New Roman"/>
          <w:sz w:val="24"/>
          <w:szCs w:val="24"/>
        </w:rPr>
        <w:t>-2020 годах»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"Стимулирование развития жилищного строительства вСоль-Илецком городском округе Оренбургской области  в 2016 - 2020 годах"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Подпрограмма)</w:t>
      </w:r>
    </w:p>
    <w:p w:rsidR="00451CE5" w:rsidRPr="00AF464F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663"/>
      </w:tblGrid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и социальным вопросам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451CE5" w:rsidRPr="00AF464F" w:rsidTr="00451CE5">
        <w:trPr>
          <w:trHeight w:val="594"/>
        </w:trPr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жилого фонда, признанного таковым после 1 января 2012 года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451CE5" w:rsidRPr="005B3E37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137D1B">
              <w:rPr>
                <w:rFonts w:ascii="Times New Roman" w:hAnsi="Times New Roman" w:cs="Times New Roman"/>
                <w:b/>
                <w:sz w:val="24"/>
              </w:rPr>
              <w:t>546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37D1B">
              <w:rPr>
                <w:rFonts w:ascii="Times New Roman" w:hAnsi="Times New Roman" w:cs="Times New Roman"/>
                <w:b/>
                <w:sz w:val="24"/>
              </w:rPr>
              <w:t>13386</w:t>
            </w:r>
            <w:r w:rsidRPr="009D401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451CE5" w:rsidRPr="00E20828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51CE5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451CE5" w:rsidRPr="004D7E1B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8,</w:t>
            </w:r>
            <w:r w:rsidRPr="004D7E1B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51CE5" w:rsidRPr="00E20828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137D1B">
              <w:rPr>
                <w:rFonts w:ascii="Times New Roman" w:hAnsi="Times New Roman" w:cs="Times New Roman"/>
                <w:b/>
                <w:sz w:val="24"/>
              </w:rPr>
              <w:t>538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37D1B">
              <w:rPr>
                <w:rFonts w:ascii="Times New Roman" w:hAnsi="Times New Roman" w:cs="Times New Roman"/>
                <w:b/>
                <w:sz w:val="24"/>
              </w:rPr>
              <w:t>13386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51CE5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451CE5" w:rsidRPr="00E20828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областного бюджета- 6</w:t>
            </w:r>
            <w:r w:rsidR="00137D1B">
              <w:rPr>
                <w:rFonts w:ascii="Times New Roman" w:hAnsi="Times New Roman" w:cs="Times New Roman"/>
                <w:sz w:val="24"/>
              </w:rPr>
              <w:t>989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</w:p>
          <w:p w:rsidR="00451CE5" w:rsidRPr="00AF464F" w:rsidRDefault="00451CE5" w:rsidP="009802D7">
            <w:pPr>
              <w:pStyle w:val="ConsPlusNormal"/>
              <w:ind w:left="567" w:right="28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 xml:space="preserve">1549,13386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51CE5" w:rsidRPr="00AF464F" w:rsidTr="00451CE5">
        <w:tc>
          <w:tcPr>
            <w:tcW w:w="3402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451CE5" w:rsidRPr="00AF464F" w:rsidRDefault="00451CE5" w:rsidP="00451CE5">
            <w:pPr>
              <w:pStyle w:val="ConsPlusNormal"/>
              <w:ind w:left="567"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451CE5" w:rsidRPr="00AF464F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сферы реализации подпрограммы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Большинство граждан, проживающих в аварийных МКД, не имеет возможности приобрести или получить на условиях найма жилье удовлетворительного качества.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Аварийный жилищный фонд является непосредственной угрозой для жизни граждан, ухудшает внешний облик городов и поселков, сдерживает развитие инфраструктуры, снижает инвестиционную привлекательность населенных пунктов.</w:t>
      </w:r>
    </w:p>
    <w:p w:rsidR="00451CE5" w:rsidRPr="00680F93" w:rsidRDefault="00451CE5" w:rsidP="00451CE5">
      <w:pPr>
        <w:suppressAutoHyphens/>
        <w:ind w:left="567" w:right="281" w:firstLine="567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>После  01.01.2012  года  многоквартирные жилые дома общей площадью 2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23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>,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20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 xml:space="preserve"> кв. м (прогнозно) признаны аварийным и подлежащим сносу в связи с физическим износом в процессе эксплуатации.   В указанных домах в настоящее время проживает </w:t>
      </w:r>
      <w:r>
        <w:rPr>
          <w:rFonts w:ascii="Times New Roman" w:hAnsi="Times New Roman" w:cs="Times New Roman"/>
          <w:color w:val="000000"/>
          <w:spacing w:val="-2"/>
          <w:lang w:eastAsia="ar-SA"/>
        </w:rPr>
        <w:t>20</w:t>
      </w:r>
      <w:r w:rsidRPr="00680F93">
        <w:rPr>
          <w:rFonts w:ascii="Times New Roman" w:hAnsi="Times New Roman" w:cs="Times New Roman"/>
          <w:color w:val="000000"/>
          <w:spacing w:val="-2"/>
          <w:lang w:eastAsia="ar-SA"/>
        </w:rPr>
        <w:t xml:space="preserve"> человек.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1. При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0105D5">
        <w:rPr>
          <w:rFonts w:ascii="Times New Roman" w:hAnsi="Times New Roman" w:cs="Times New Roman"/>
          <w:sz w:val="24"/>
          <w:szCs w:val="24"/>
        </w:rPr>
        <w:t>рограммы необходимо исходить из следующих положений: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1.1. Принятие решений и проведение мероприятий по переселению граждан из аварийного жилищного фонда за счет средств Фонда содействия реформированию ЖКХ и за счет средств областного бюджета  производится в соответствии с Жилищным кодексом Российской Федерации;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1.2. Переселение граждан производится в жилое помещение общей площадью равной общей площади, ранее занимаемому помещению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или с согласия в письменной форме этих граждан</w:t>
      </w:r>
      <w:r w:rsidRPr="00B7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меньшей площади по сравнению с площадью ранее занимаемого помещения.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1.3. Дополнительное финансирование расходов осуществляется: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за счет средств местного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05D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1D7">
        <w:rPr>
          <w:rFonts w:ascii="Times New Roman" w:hAnsi="Times New Roman" w:cs="Times New Roman"/>
          <w:sz w:val="24"/>
          <w:szCs w:val="24"/>
        </w:rPr>
        <w:t xml:space="preserve">- </w:t>
      </w:r>
      <w:r w:rsidRPr="00B7476D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для переселения граждан из аварийного жилищного фонда по цене, превышающей цену квадратного метра общей площади жилого помещения, установленной </w:t>
      </w:r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приказом министерства строительства и жилищно-коммунального хозяйства Российской Федерации от 27.02.2014 года №67/</w:t>
      </w:r>
      <w:proofErr w:type="gramStart"/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</w:t>
      </w:r>
      <w:proofErr w:type="gramEnd"/>
      <w:r w:rsidRPr="00B7476D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>в размере 29230 рублей за метр</w:t>
      </w:r>
      <w:r w:rsidRPr="005C71D7">
        <w:rPr>
          <w:rFonts w:ascii="Times New Roman" w:hAnsi="Times New Roman" w:cs="Times New Roman"/>
          <w:sz w:val="24"/>
          <w:szCs w:val="24"/>
        </w:rPr>
        <w:t>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-  </w:t>
      </w:r>
      <w:r w:rsidRPr="00B7476D">
        <w:rPr>
          <w:rFonts w:ascii="Times New Roman" w:hAnsi="Times New Roman" w:cs="Times New Roman"/>
          <w:sz w:val="24"/>
          <w:szCs w:val="24"/>
        </w:rPr>
        <w:t>предоставление гражданину, 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</w:t>
      </w:r>
      <w:r w:rsidRPr="000105D5">
        <w:rPr>
          <w:rFonts w:ascii="Times New Roman" w:hAnsi="Times New Roman" w:cs="Times New Roman"/>
          <w:sz w:val="24"/>
          <w:szCs w:val="24"/>
        </w:rPr>
        <w:t>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1.4. Земельный участок, на котором расположен многоквартирный дом, признанный аварийным и подлежащим сносу, подлежит изъятию для муниципальных нужд в порядке, установленном федеральным и областным законодательством.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2. Переселение граждан из аварийного жилищного фонда осуществляется путем приобретения 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D">
        <w:rPr>
          <w:rFonts w:ascii="Times New Roman" w:hAnsi="Times New Roman" w:cs="Times New Roman"/>
          <w:sz w:val="24"/>
          <w:szCs w:val="24"/>
        </w:rPr>
        <w:t xml:space="preserve">или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</w:t>
      </w:r>
      <w:hyperlink r:id="rId6" w:history="1">
        <w:r w:rsidRPr="00B7476D">
          <w:rPr>
            <w:rFonts w:ascii="Times New Roman" w:hAnsi="Times New Roman" w:cs="Times New Roman"/>
            <w:color w:val="0000FF"/>
            <w:sz w:val="24"/>
            <w:szCs w:val="24"/>
          </w:rPr>
          <w:t>статьей 32</w:t>
        </w:r>
      </w:hyperlink>
      <w:r w:rsidRPr="00B7476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</w:t>
      </w:r>
      <w:proofErr w:type="gramStart"/>
      <w:r w:rsidRPr="00B747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476D">
        <w:rPr>
          <w:rFonts w:ascii="Times New Roman" w:hAnsi="Times New Roman" w:cs="Times New Roman"/>
          <w:sz w:val="24"/>
          <w:szCs w:val="24"/>
        </w:rPr>
        <w:t>путем выкупа).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 Организационные мероприятия по реализации Программы предусматривают следующие меры: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3.1. Выявление не завершенных строительством жилых домов с высокой степенью готовности;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3.2. Установку очередности сноса аварийного жилищного фонда в соответствии с требованиями планируемого развития территорий, оформление соглашений с организациями-застройщиками на выделение жилых помещений во вновь строящихся домах для переселения граждан из аварийного жилищного фонда;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3.3.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сайте муниципального образования  Оренбургской области.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           4.  Переселение граждан из аварийного жилищного фонда в рамках программы осуществляется следующими способами:</w:t>
      </w:r>
    </w:p>
    <w:p w:rsidR="00451CE5" w:rsidRPr="000105D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5D5">
        <w:rPr>
          <w:rFonts w:ascii="Times New Roman" w:hAnsi="Times New Roman" w:cs="Times New Roman"/>
          <w:sz w:val="24"/>
          <w:szCs w:val="24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собственниками помещений в аварийных многоквартирных домах решениями);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5D5">
        <w:rPr>
          <w:rFonts w:ascii="Times New Roman" w:hAnsi="Times New Roman" w:cs="Times New Roman"/>
          <w:sz w:val="24"/>
          <w:szCs w:val="24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76D">
        <w:rPr>
          <w:rFonts w:ascii="Times New Roman" w:hAnsi="Times New Roman" w:cs="Times New Roman"/>
          <w:sz w:val="24"/>
          <w:szCs w:val="24"/>
        </w:rPr>
        <w:t>выплаты возмещения за изымаемые жилые помещения (выкупа). Выкупная цена жилого помещения, сроки и другие условия выкупа определяются соглашением с собственником жилого помещения. Выкупная цена должна соответствовать рыночной стоимости освобождаемого жилого помещения, при этом стоимость 1 кв.м. жилого помещения не должна превышать  среднюю рыночную стоимость жилья, утвержденную постановлением администрации Соль-Илецкого городского округа.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D5">
        <w:rPr>
          <w:rFonts w:ascii="Times New Roman" w:hAnsi="Times New Roman" w:cs="Times New Roman"/>
          <w:sz w:val="24"/>
          <w:szCs w:val="24"/>
        </w:rPr>
        <w:t>Так в соответствии со статьями 86, 89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такого дома. При этом предоставляемые гражданам в связи с выселением жилые помещения должны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CE5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05D5">
        <w:rPr>
          <w:rFonts w:ascii="Times New Roman" w:hAnsi="Times New Roman" w:cs="Times New Roman"/>
        </w:rPr>
        <w:t>благоустроенными применительно к условиям соответствующего населенного пункта</w:t>
      </w:r>
      <w:r>
        <w:rPr>
          <w:rFonts w:ascii="Times New Roman" w:hAnsi="Times New Roman" w:cs="Times New Roman"/>
        </w:rPr>
        <w:t>;</w:t>
      </w:r>
    </w:p>
    <w:p w:rsidR="00451CE5" w:rsidRPr="00853EAA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0105D5">
        <w:rPr>
          <w:rFonts w:ascii="Times New Roman" w:hAnsi="Times New Roman" w:cs="Times New Roman"/>
        </w:rPr>
        <w:t xml:space="preserve"> равнозначными по общей </w:t>
      </w:r>
      <w:proofErr w:type="gramStart"/>
      <w:r w:rsidRPr="000105D5">
        <w:rPr>
          <w:rFonts w:ascii="Times New Roman" w:hAnsi="Times New Roman" w:cs="Times New Roman"/>
        </w:rPr>
        <w:t>площади</w:t>
      </w:r>
      <w:proofErr w:type="gramEnd"/>
      <w:r w:rsidRPr="000105D5">
        <w:rPr>
          <w:rFonts w:ascii="Times New Roman" w:hAnsi="Times New Roman" w:cs="Times New Roman"/>
        </w:rPr>
        <w:t xml:space="preserve"> ранее занимаемым жилым помещениям</w:t>
      </w:r>
      <w:r w:rsidRPr="003A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</w:rPr>
        <w:t>или с согласия в письменной форме этих граждан</w:t>
      </w:r>
      <w:r w:rsidRPr="00B7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6D">
        <w:rPr>
          <w:rFonts w:ascii="Times New Roman" w:hAnsi="Times New Roman" w:cs="Times New Roman"/>
        </w:rPr>
        <w:t>меньшей площади по сравнению с площадью ранее занимаемого помещения</w:t>
      </w:r>
      <w:r w:rsidRPr="00B7476D">
        <w:rPr>
          <w:rFonts w:ascii="Times New Roman" w:hAnsi="Times New Roman" w:cs="Times New Roman"/>
          <w:sz w:val="28"/>
          <w:szCs w:val="28"/>
        </w:rPr>
        <w:t>;</w:t>
      </w:r>
    </w:p>
    <w:p w:rsidR="00451CE5" w:rsidRPr="00844519" w:rsidRDefault="00451CE5" w:rsidP="00451CE5">
      <w:pPr>
        <w:spacing w:before="200"/>
        <w:ind w:left="567" w:right="28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05D5">
        <w:rPr>
          <w:rFonts w:ascii="Times New Roman" w:hAnsi="Times New Roman" w:cs="Times New Roman"/>
        </w:rPr>
        <w:t>находиться  по месту их жительства в границах соответствующего населенного пункта, на территории которого расположено ранее занимаемое жилое помещение</w:t>
      </w:r>
      <w:r>
        <w:rPr>
          <w:rFonts w:ascii="Times New Roman" w:hAnsi="Times New Roman" w:cs="Times New Roman"/>
        </w:rPr>
        <w:t xml:space="preserve"> </w:t>
      </w:r>
      <w:r w:rsidRPr="00B7476D">
        <w:rPr>
          <w:rFonts w:ascii="Times New Roman" w:hAnsi="Times New Roman" w:cs="Times New Roman"/>
        </w:rPr>
        <w:t>или с согласия в письменной форме этих граждан в границах другого населенного пункта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5D5">
        <w:rPr>
          <w:rFonts w:ascii="Times New Roman" w:hAnsi="Times New Roman" w:cs="Times New Roman"/>
          <w:sz w:val="24"/>
          <w:szCs w:val="24"/>
        </w:rPr>
        <w:t>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  <w:proofErr w:type="gramEnd"/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Приоритеты муниципальной  политики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подпрограммы, цель, задачи и показатели (индикаторы) 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их достижения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ботка документов территориального планирования  муниципального образования (</w:t>
      </w:r>
      <w:r w:rsidRPr="008363EB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неральные планы территорий городского округа) </w:t>
      </w:r>
      <w:r w:rsidRPr="00AF46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F464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AF46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464F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округ, долгосрочным прогнозом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464F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округ, </w:t>
      </w:r>
      <w:r>
        <w:rPr>
          <w:rFonts w:ascii="Times New Roman" w:hAnsi="Times New Roman" w:cs="Times New Roman"/>
          <w:sz w:val="24"/>
          <w:szCs w:val="24"/>
        </w:rPr>
        <w:t>– основная цель подпрограммы расселение из аварийного жилого фонда, признанного таковым после 1 января 2012 года.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Для достижения цели предусмотрено решение следующих задач:</w:t>
      </w:r>
    </w:p>
    <w:p w:rsidR="00451CE5" w:rsidRPr="00E20828" w:rsidRDefault="00451CE5" w:rsidP="00451CE5">
      <w:pPr>
        <w:pStyle w:val="ConsPlusNormal"/>
        <w:ind w:left="567" w:right="281" w:firstLine="567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1) </w:t>
      </w:r>
      <w:r w:rsidRPr="00CE581D">
        <w:rPr>
          <w:rFonts w:ascii="Times New Roman" w:hAnsi="Times New Roman" w:cs="Times New Roman"/>
          <w:sz w:val="24"/>
        </w:rPr>
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</w:r>
      <w:r>
        <w:rPr>
          <w:rFonts w:ascii="Times New Roman" w:hAnsi="Times New Roman" w:cs="Times New Roman"/>
          <w:sz w:val="24"/>
        </w:rPr>
        <w:t>.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Перечень и характеристика  ведомственных целевых программ</w:t>
      </w: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 основных мероприятий подпрограммы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Подпрограмма не включает в себя ведомственные целевые программы.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подпрограммы с указанием сроков реализации и ресурсное обеспечение мероприятий Подпрограммы представлены в </w:t>
      </w:r>
      <w:hyperlink r:id="rId8" w:history="1"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>приложени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 таблица № 2 и № 3</w:t>
      </w:r>
      <w:r w:rsidRPr="008363E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Pr="00262AB4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B4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Общий объем финансирования подпрограммы </w:t>
      </w:r>
      <w:r w:rsidR="0075308B">
        <w:rPr>
          <w:rFonts w:ascii="Times New Roman" w:hAnsi="Times New Roman" w:cs="Times New Roman"/>
          <w:b/>
          <w:sz w:val="24"/>
        </w:rPr>
        <w:t>8546,13386</w:t>
      </w:r>
      <w:r w:rsidR="0075308B" w:rsidRPr="009D4018">
        <w:rPr>
          <w:rFonts w:ascii="Times New Roman" w:hAnsi="Times New Roman" w:cs="Times New Roman"/>
          <w:b/>
          <w:sz w:val="24"/>
        </w:rPr>
        <w:t> </w:t>
      </w:r>
      <w:r w:rsidR="0075308B" w:rsidRPr="00E20828">
        <w:rPr>
          <w:rFonts w:ascii="Times New Roman" w:hAnsi="Times New Roman" w:cs="Times New Roman"/>
          <w:b/>
          <w:sz w:val="24"/>
        </w:rPr>
        <w:t xml:space="preserve"> </w:t>
      </w:r>
      <w:r w:rsidRPr="00E20828">
        <w:rPr>
          <w:rFonts w:ascii="Times New Roman" w:hAnsi="Times New Roman" w:cs="Times New Roman"/>
          <w:b/>
          <w:sz w:val="24"/>
        </w:rPr>
        <w:t xml:space="preserve"> тыс. рублей</w:t>
      </w:r>
      <w:r w:rsidRPr="00E20828">
        <w:rPr>
          <w:rFonts w:ascii="Times New Roman" w:hAnsi="Times New Roman" w:cs="Times New Roman"/>
          <w:sz w:val="24"/>
        </w:rPr>
        <w:t>, в том числе: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b/>
          <w:sz w:val="24"/>
        </w:rPr>
        <w:t>201</w:t>
      </w:r>
      <w:r w:rsidRPr="004D7E1B">
        <w:rPr>
          <w:rFonts w:ascii="Times New Roman" w:hAnsi="Times New Roman" w:cs="Times New Roman"/>
          <w:b/>
          <w:sz w:val="24"/>
        </w:rPr>
        <w:t>6</w:t>
      </w:r>
      <w:r w:rsidRPr="00E20828">
        <w:rPr>
          <w:rFonts w:ascii="Times New Roman" w:hAnsi="Times New Roman" w:cs="Times New Roman"/>
          <w:b/>
          <w:sz w:val="24"/>
        </w:rPr>
        <w:t xml:space="preserve"> год – </w:t>
      </w:r>
      <w:r w:rsidRPr="004D7E1B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,</w:t>
      </w:r>
      <w:r w:rsidRPr="004D7E1B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20828">
        <w:rPr>
          <w:rFonts w:ascii="Times New Roman" w:hAnsi="Times New Roman" w:cs="Times New Roman"/>
          <w:b/>
          <w:sz w:val="24"/>
        </w:rPr>
        <w:t>тыс. рублей</w:t>
      </w:r>
      <w:r w:rsidRPr="00E20828">
        <w:rPr>
          <w:rFonts w:ascii="Times New Roman" w:hAnsi="Times New Roman" w:cs="Times New Roman"/>
          <w:sz w:val="24"/>
        </w:rPr>
        <w:t xml:space="preserve">, 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lastRenderedPageBreak/>
        <w:t>из них средства</w:t>
      </w:r>
    </w:p>
    <w:p w:rsidR="00451CE5" w:rsidRPr="0063476E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местного бюджета –  </w:t>
      </w:r>
      <w:r w:rsidRPr="005B3E3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</w:t>
      </w:r>
      <w:r w:rsidRPr="005B3E3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E20828">
        <w:rPr>
          <w:rFonts w:ascii="Times New Roman" w:hAnsi="Times New Roman" w:cs="Times New Roman"/>
          <w:sz w:val="24"/>
        </w:rPr>
        <w:t>тыс. рублей;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7</w:t>
      </w:r>
      <w:r w:rsidRPr="00E20828">
        <w:rPr>
          <w:rFonts w:ascii="Times New Roman" w:hAnsi="Times New Roman" w:cs="Times New Roman"/>
          <w:b/>
          <w:sz w:val="24"/>
        </w:rPr>
        <w:t xml:space="preserve"> год – </w:t>
      </w:r>
      <w:r w:rsidR="0075308B">
        <w:rPr>
          <w:rFonts w:ascii="Times New Roman" w:hAnsi="Times New Roman" w:cs="Times New Roman"/>
          <w:b/>
          <w:sz w:val="24"/>
        </w:rPr>
        <w:t xml:space="preserve">8538,13386 </w:t>
      </w:r>
      <w:r w:rsidRPr="00E20828">
        <w:rPr>
          <w:rFonts w:ascii="Times New Roman" w:hAnsi="Times New Roman" w:cs="Times New Roman"/>
          <w:b/>
          <w:sz w:val="24"/>
        </w:rPr>
        <w:t>тыс. рублей</w:t>
      </w:r>
      <w:r w:rsidRPr="00E20828">
        <w:rPr>
          <w:rFonts w:ascii="Times New Roman" w:hAnsi="Times New Roman" w:cs="Times New Roman"/>
          <w:sz w:val="24"/>
        </w:rPr>
        <w:t xml:space="preserve">, 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>из них средства</w:t>
      </w:r>
    </w:p>
    <w:p w:rsidR="00451CE5" w:rsidRPr="00E20828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областного бюджета – 6</w:t>
      </w:r>
      <w:r w:rsidR="0075308B">
        <w:rPr>
          <w:rFonts w:ascii="Times New Roman" w:hAnsi="Times New Roman" w:cs="Times New Roman"/>
          <w:sz w:val="24"/>
        </w:rPr>
        <w:t>989</w:t>
      </w:r>
      <w:r>
        <w:rPr>
          <w:rFonts w:ascii="Times New Roman" w:hAnsi="Times New Roman" w:cs="Times New Roman"/>
          <w:sz w:val="24"/>
        </w:rPr>
        <w:t xml:space="preserve"> тыс. руб.</w:t>
      </w:r>
    </w:p>
    <w:p w:rsidR="00451CE5" w:rsidRPr="0063476E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  <w:r w:rsidRPr="00E20828">
        <w:rPr>
          <w:rFonts w:ascii="Times New Roman" w:hAnsi="Times New Roman" w:cs="Times New Roman"/>
          <w:sz w:val="24"/>
        </w:rPr>
        <w:t xml:space="preserve">местного бюджета –  </w:t>
      </w:r>
      <w:r>
        <w:rPr>
          <w:rFonts w:ascii="Times New Roman" w:hAnsi="Times New Roman" w:cs="Times New Roman"/>
          <w:sz w:val="24"/>
        </w:rPr>
        <w:t xml:space="preserve">1549,13386 </w:t>
      </w:r>
      <w:r w:rsidRPr="00E20828">
        <w:rPr>
          <w:rFonts w:ascii="Times New Roman" w:hAnsi="Times New Roman" w:cs="Times New Roman"/>
          <w:sz w:val="24"/>
        </w:rPr>
        <w:t>тыс. рублей;</w:t>
      </w:r>
    </w:p>
    <w:p w:rsidR="00451CE5" w:rsidRPr="004D7E1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привлечения субсидий из областного бюджета в рамках подпрограммы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Предоставление субсидий на софинансирование расход</w:t>
      </w:r>
      <w:r>
        <w:rPr>
          <w:rFonts w:ascii="Times New Roman" w:hAnsi="Times New Roman" w:cs="Times New Roman"/>
          <w:sz w:val="24"/>
          <w:szCs w:val="24"/>
        </w:rPr>
        <w:t>ных обязательств городского округа</w:t>
      </w:r>
      <w:r w:rsidRPr="008363EB">
        <w:rPr>
          <w:rFonts w:ascii="Times New Roman" w:hAnsi="Times New Roman" w:cs="Times New Roman"/>
          <w:sz w:val="24"/>
          <w:szCs w:val="24"/>
        </w:rPr>
        <w:t xml:space="preserve"> из областного бюджета осуществляется минстроем Оренбургской области по результатам отбора муниципальных образований области и проектов.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 xml:space="preserve"> Порядок отбора муниципальных образований области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Распределение субсидии на софинансирование расходов по подготовке документов для внесения сведений в государственный кадастр недвижимости между городскими округами и муниципальными районами области утверждается постановлением Правительства Оренбургской области.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63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63EB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9" w:history="1">
        <w:r w:rsidRPr="008363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363E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21.04.2015 N 251-пп)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Предоставление субсидий из обл</w:t>
      </w:r>
      <w:r>
        <w:rPr>
          <w:rFonts w:ascii="Times New Roman" w:hAnsi="Times New Roman" w:cs="Times New Roman"/>
          <w:sz w:val="24"/>
          <w:szCs w:val="24"/>
        </w:rPr>
        <w:t xml:space="preserve">астного бюджету городского округа </w:t>
      </w:r>
      <w:r w:rsidRPr="008363E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заключенных соглашений между ми</w:t>
      </w:r>
      <w:r>
        <w:rPr>
          <w:rFonts w:ascii="Times New Roman" w:hAnsi="Times New Roman" w:cs="Times New Roman"/>
          <w:sz w:val="24"/>
          <w:szCs w:val="24"/>
        </w:rPr>
        <w:t xml:space="preserve">нстроем Оренбургской области и </w:t>
      </w:r>
      <w:r w:rsidRPr="008363EB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8363EB">
        <w:rPr>
          <w:rFonts w:ascii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софинансирования из областного бюджета;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представления в минстрой Оренбургской области отчетности и документов по видам, формам и в сроки, установленные в соглашении.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В соглашении о предоставлении субсидии предусматриваются: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 размере субсидии, предоставляемой муниципальному образованию области;</w:t>
      </w:r>
    </w:p>
    <w:p w:rsidR="00451CE5" w:rsidRPr="008363EB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об объеме бюджетных ассигнований, предусматриваемых в местном бюджете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расходного обязательства.</w:t>
      </w:r>
    </w:p>
    <w:p w:rsidR="00451CE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CE5" w:rsidRPr="00BC1D45" w:rsidRDefault="00451CE5" w:rsidP="00451CE5">
      <w:pPr>
        <w:pStyle w:val="ConsPlusNormal"/>
        <w:ind w:left="567" w:right="281" w:firstLine="567"/>
        <w:jc w:val="both"/>
        <w:rPr>
          <w:rFonts w:ascii="Times New Roman" w:hAnsi="Times New Roman" w:cs="Times New Roman"/>
          <w:sz w:val="24"/>
        </w:rPr>
      </w:pPr>
    </w:p>
    <w:p w:rsidR="00451CE5" w:rsidRPr="00BC1D45" w:rsidRDefault="00451CE5" w:rsidP="00451CE5">
      <w:pPr>
        <w:pStyle w:val="ConsPlusNormal"/>
        <w:ind w:left="567" w:right="28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51CE5" w:rsidRDefault="00451CE5" w:rsidP="00451CE5">
      <w:pPr>
        <w:pStyle w:val="ConsPlusNormal"/>
        <w:ind w:left="567" w:right="28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41786" w:rsidRDefault="00541786" w:rsidP="00D4195B">
      <w:pPr>
        <w:jc w:val="center"/>
        <w:rPr>
          <w:rFonts w:ascii="Times New Roman" w:hAnsi="Times New Roman" w:cs="Times New Roman"/>
        </w:rPr>
      </w:pPr>
    </w:p>
    <w:sectPr w:rsidR="00541786" w:rsidSect="00451CE5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37C82"/>
    <w:rsid w:val="00045404"/>
    <w:rsid w:val="00045A2B"/>
    <w:rsid w:val="00050F9A"/>
    <w:rsid w:val="00060667"/>
    <w:rsid w:val="000617E6"/>
    <w:rsid w:val="000648DF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0F6448"/>
    <w:rsid w:val="00114170"/>
    <w:rsid w:val="001176EB"/>
    <w:rsid w:val="00124296"/>
    <w:rsid w:val="0012676E"/>
    <w:rsid w:val="00130AFE"/>
    <w:rsid w:val="00137D1B"/>
    <w:rsid w:val="001401F9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6ADD"/>
    <w:rsid w:val="001879B6"/>
    <w:rsid w:val="00191C6B"/>
    <w:rsid w:val="0019380B"/>
    <w:rsid w:val="001A1CA1"/>
    <w:rsid w:val="001A3B90"/>
    <w:rsid w:val="001A3DD7"/>
    <w:rsid w:val="001A4AE9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191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41C5"/>
    <w:rsid w:val="0038531B"/>
    <w:rsid w:val="003A114E"/>
    <w:rsid w:val="003A5CA0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196C"/>
    <w:rsid w:val="004328E2"/>
    <w:rsid w:val="00433127"/>
    <w:rsid w:val="004335C0"/>
    <w:rsid w:val="00436193"/>
    <w:rsid w:val="00444B8F"/>
    <w:rsid w:val="00451CE5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3389"/>
    <w:rsid w:val="004C5868"/>
    <w:rsid w:val="004C73D7"/>
    <w:rsid w:val="004D0A82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264D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08B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02D4D"/>
    <w:rsid w:val="008100DB"/>
    <w:rsid w:val="00816EAB"/>
    <w:rsid w:val="00820DAD"/>
    <w:rsid w:val="00823EC1"/>
    <w:rsid w:val="00825AFB"/>
    <w:rsid w:val="00826A6B"/>
    <w:rsid w:val="00835686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34243"/>
    <w:rsid w:val="00937E6D"/>
    <w:rsid w:val="0094725E"/>
    <w:rsid w:val="0096727E"/>
    <w:rsid w:val="009802D7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B5EC6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1845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195B"/>
    <w:rsid w:val="00D422FB"/>
    <w:rsid w:val="00D45AC5"/>
    <w:rsid w:val="00D45F4A"/>
    <w:rsid w:val="00D561CA"/>
    <w:rsid w:val="00D5641F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6764C"/>
    <w:rsid w:val="00E7001A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84A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13C6EB4FC619A642C2121F6964EB3BCAE1C82F322728EC3615DCC0465F11999E2E9197B695A7EB4063GDc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B32533F57949E7341D4BB61ACFF3415B5FA0A775CD19EB65B7B316335AC51B5963204C3BE2458CF56924Q3S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565CA248BDC5FBC99AFBEB12E4D0700FB56594BE024915B7C60C7349332B434B9E017E149E9A4Z3Z1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613C6EB4FC619A642C2121F6964EB3BCAE1C82F322322EF3615DCC0465F11999E2E9197B695A7EB4262GD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15382</CharactersWithSpaces>
  <SharedDoc>false</SharedDoc>
  <HLinks>
    <vt:vector size="24" baseType="variant"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consultantplus://offline/ref=41C613C6EB4FC619A642C2121F6964EB3BCAE1C82F322322EF3615DCC0465F11999E2E9197B695A7EB4262GDcCJ</vt:lpwstr>
      </vt:variant>
      <vt:variant>
        <vt:lpwstr/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consultantplus://offline/ref=41C613C6EB4FC619A642C2121F6964EB3BCAE1C82F322728EC3615DCC0465F11999E2E9197B695A7EB4063GDcEJ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consultantplus://offline/ref=CAB32533F57949E7341D4BB61ACFF3415B5FA0A775CD19EB65B7B316335AC51B5963204C3BE2458CF56924Q3S1L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consultantplus://offline/ref=58C565CA248BDC5FBC99AFBEB12E4D0700FB56594BE024915B7C60C7349332B434B9E017E149E9A4Z3Z1O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2017-12-20T13:10:00Z</cp:lastPrinted>
  <dcterms:created xsi:type="dcterms:W3CDTF">2017-12-21T06:28:00Z</dcterms:created>
  <dcterms:modified xsi:type="dcterms:W3CDTF">2017-12-21T06:28:00Z</dcterms:modified>
</cp:coreProperties>
</file>