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896A09" w:rsidRPr="00530A97" w:rsidTr="00A854EE">
        <w:trPr>
          <w:trHeight w:val="3417"/>
        </w:trPr>
        <w:tc>
          <w:tcPr>
            <w:tcW w:w="4428" w:type="dxa"/>
          </w:tcPr>
          <w:p w:rsidR="00896A09" w:rsidRDefault="00896A0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896A09" w:rsidRPr="002705AD" w:rsidRDefault="00896A09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2705AD">
              <w:rPr>
                <w:szCs w:val="28"/>
              </w:rPr>
              <w:t>АДМИНИСТРАЦИЯ</w:t>
            </w:r>
          </w:p>
          <w:p w:rsidR="00896A09" w:rsidRPr="002705AD" w:rsidRDefault="00896A09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2705AD">
              <w:rPr>
                <w:sz w:val="28"/>
                <w:szCs w:val="28"/>
              </w:rPr>
              <w:t>МУНИЦИПАЛЬНОГО ОБРАЗОВАНИЯ</w:t>
            </w:r>
          </w:p>
          <w:p w:rsidR="00896A09" w:rsidRPr="002705AD" w:rsidRDefault="00896A09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896A09" w:rsidRPr="002705AD" w:rsidRDefault="00896A09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896A09" w:rsidRPr="002705AD" w:rsidRDefault="00896A09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96A09" w:rsidRPr="00530A97" w:rsidRDefault="00896A09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896A09" w:rsidRPr="006F1529" w:rsidRDefault="00317273" w:rsidP="00317273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09.09.</w:t>
            </w:r>
            <w:r w:rsidR="00896A09" w:rsidRPr="006F1529">
              <w:rPr>
                <w:sz w:val="30"/>
                <w:szCs w:val="30"/>
              </w:rPr>
              <w:t>2016 №</w:t>
            </w:r>
            <w:r>
              <w:rPr>
                <w:sz w:val="30"/>
                <w:szCs w:val="30"/>
              </w:rPr>
              <w:t xml:space="preserve"> 2782-п</w:t>
            </w:r>
          </w:p>
        </w:tc>
        <w:tc>
          <w:tcPr>
            <w:tcW w:w="5760" w:type="dxa"/>
          </w:tcPr>
          <w:p w:rsidR="00896A09" w:rsidRDefault="00896A09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896A09" w:rsidRDefault="00896A09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896A09" w:rsidRDefault="00896A09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896A09" w:rsidRDefault="00896A09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896A09" w:rsidRDefault="00896A09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896A09" w:rsidRDefault="00896A09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896A09" w:rsidRPr="008653B2" w:rsidRDefault="00896A09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96A09" w:rsidRDefault="00896A09" w:rsidP="00891966">
      <w:pPr>
        <w:ind w:right="30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6A09" w:rsidRDefault="00896A09" w:rsidP="00891966">
      <w:pPr>
        <w:ind w:right="305"/>
        <w:rPr>
          <w:sz w:val="28"/>
          <w:szCs w:val="28"/>
        </w:rPr>
      </w:pPr>
      <w:r>
        <w:rPr>
          <w:sz w:val="28"/>
          <w:szCs w:val="28"/>
        </w:rPr>
        <w:t>«</w:t>
      </w:r>
      <w:r w:rsidRPr="002F46F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 особенностях </w:t>
      </w:r>
      <w:r>
        <w:rPr>
          <w:sz w:val="28"/>
          <w:szCs w:val="28"/>
        </w:rPr>
        <w:t xml:space="preserve">  </w:t>
      </w:r>
      <w:r w:rsidRPr="002F46F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 </w:t>
      </w:r>
      <w:r w:rsidRPr="002F46F9">
        <w:rPr>
          <w:sz w:val="28"/>
          <w:szCs w:val="28"/>
        </w:rPr>
        <w:t>цены</w:t>
      </w:r>
      <w:r>
        <w:rPr>
          <w:sz w:val="28"/>
          <w:szCs w:val="28"/>
        </w:rPr>
        <w:t xml:space="preserve">  </w:t>
      </w:r>
      <w:r w:rsidRPr="002F46F9">
        <w:rPr>
          <w:sz w:val="28"/>
          <w:szCs w:val="28"/>
        </w:rPr>
        <w:t xml:space="preserve"> муниципальных</w:t>
      </w:r>
    </w:p>
    <w:p w:rsidR="00896A09" w:rsidRDefault="00896A09" w:rsidP="00891966">
      <w:pPr>
        <w:ind w:right="305"/>
        <w:rPr>
          <w:sz w:val="28"/>
          <w:szCs w:val="28"/>
        </w:rPr>
      </w:pPr>
      <w:r w:rsidRPr="002F46F9">
        <w:rPr>
          <w:sz w:val="28"/>
          <w:szCs w:val="28"/>
        </w:rPr>
        <w:t xml:space="preserve">контрактов, предметом которых являются строительство, </w:t>
      </w:r>
    </w:p>
    <w:p w:rsidR="00896A09" w:rsidRDefault="00896A09" w:rsidP="00891966">
      <w:pPr>
        <w:ind w:right="305"/>
        <w:rPr>
          <w:sz w:val="28"/>
          <w:szCs w:val="28"/>
        </w:rPr>
      </w:pPr>
      <w:r w:rsidRPr="002F46F9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 xml:space="preserve">    </w:t>
      </w:r>
      <w:r w:rsidRPr="002F46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</w:t>
      </w:r>
      <w:r w:rsidRPr="002F46F9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   </w:t>
      </w:r>
      <w:r w:rsidRPr="002F46F9">
        <w:rPr>
          <w:sz w:val="28"/>
          <w:szCs w:val="28"/>
        </w:rPr>
        <w:t xml:space="preserve"> перевооружение </w:t>
      </w:r>
    </w:p>
    <w:p w:rsidR="00896A09" w:rsidRDefault="00896A09" w:rsidP="00891966">
      <w:pPr>
        <w:ind w:right="305"/>
        <w:rPr>
          <w:sz w:val="28"/>
          <w:szCs w:val="28"/>
        </w:rPr>
      </w:pPr>
      <w:r w:rsidRPr="002F46F9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   </w:t>
      </w:r>
      <w:r w:rsidRPr="002F46F9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   </w:t>
      </w:r>
      <w:r w:rsidRPr="002F46F9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    </w:t>
      </w:r>
      <w:r w:rsidRPr="002F46F9">
        <w:rPr>
          <w:sz w:val="28"/>
          <w:szCs w:val="28"/>
        </w:rPr>
        <w:t xml:space="preserve"> проведение</w:t>
      </w:r>
    </w:p>
    <w:p w:rsidR="00896A09" w:rsidRDefault="00896A09" w:rsidP="00891966">
      <w:pPr>
        <w:ind w:right="305"/>
        <w:rPr>
          <w:sz w:val="28"/>
          <w:szCs w:val="28"/>
        </w:rPr>
      </w:pPr>
      <w:r w:rsidRPr="002F46F9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сохранению 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 </w:t>
      </w:r>
      <w:r w:rsidRPr="002F46F9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>наследия</w:t>
      </w:r>
    </w:p>
    <w:p w:rsidR="00896A09" w:rsidRDefault="00896A09" w:rsidP="00891966">
      <w:pPr>
        <w:ind w:right="305"/>
        <w:rPr>
          <w:sz w:val="28"/>
          <w:szCs w:val="28"/>
        </w:rPr>
      </w:pPr>
      <w:r w:rsidRPr="002F46F9">
        <w:rPr>
          <w:sz w:val="28"/>
          <w:szCs w:val="28"/>
        </w:rPr>
        <w:t xml:space="preserve">(памятников истории 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>культуры)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 xml:space="preserve"> </w:t>
      </w:r>
      <w:r w:rsidRPr="002F46F9">
        <w:rPr>
          <w:sz w:val="28"/>
          <w:szCs w:val="28"/>
        </w:rPr>
        <w:t xml:space="preserve"> Российской </w:t>
      </w:r>
    </w:p>
    <w:p w:rsidR="00896A09" w:rsidRDefault="00896A09" w:rsidP="00891966">
      <w:pPr>
        <w:ind w:right="305"/>
        <w:rPr>
          <w:sz w:val="28"/>
          <w:szCs w:val="28"/>
        </w:rPr>
      </w:pPr>
      <w:r w:rsidRPr="002F46F9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для  муниципальных  нужд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96A09" w:rsidRDefault="00896A09" w:rsidP="00891966">
      <w:pPr>
        <w:ind w:right="305"/>
        <w:rPr>
          <w:sz w:val="28"/>
          <w:szCs w:val="28"/>
        </w:rPr>
      </w:pPr>
      <w:r>
        <w:rPr>
          <w:sz w:val="28"/>
          <w:szCs w:val="28"/>
        </w:rPr>
        <w:t xml:space="preserve">Образования  Соль - Илецкий  городской      округ,   срок </w:t>
      </w:r>
    </w:p>
    <w:p w:rsidR="00896A09" w:rsidRDefault="00896A09" w:rsidP="00891966">
      <w:pPr>
        <w:ind w:right="30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которых завершается  в 2016 году»</w:t>
      </w:r>
    </w:p>
    <w:p w:rsidR="00896A09" w:rsidRPr="002F46F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896A09" w:rsidRDefault="00896A09" w:rsidP="00891966">
      <w:pPr>
        <w:pStyle w:val="a8"/>
        <w:spacing w:line="276" w:lineRule="auto"/>
        <w:ind w:right="305" w:firstLine="708"/>
        <w:jc w:val="both"/>
        <w:rPr>
          <w:sz w:val="28"/>
          <w:szCs w:val="28"/>
        </w:rPr>
      </w:pPr>
    </w:p>
    <w:p w:rsidR="00896A09" w:rsidRPr="002F46F9" w:rsidRDefault="00896A09" w:rsidP="00891966">
      <w:pPr>
        <w:pStyle w:val="a8"/>
        <w:spacing w:line="276" w:lineRule="auto"/>
        <w:ind w:right="30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1E28E5">
        <w:rPr>
          <w:sz w:val="28"/>
          <w:szCs w:val="28"/>
        </w:rPr>
        <w:t>В соответствии с Федеральным законом от 06.10.2003 N 131-ФЗ  «Об общих принципах организации местного самоуправления в Российской Федерации», Федеральны</w:t>
      </w:r>
      <w:r>
        <w:rPr>
          <w:sz w:val="28"/>
          <w:szCs w:val="28"/>
        </w:rPr>
        <w:t>м</w:t>
      </w:r>
      <w:r w:rsidRPr="001E28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28E5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14.03.2016 № 191 </w:t>
      </w:r>
      <w:r w:rsidRPr="00475436">
        <w:rPr>
          <w:sz w:val="28"/>
          <w:szCs w:val="28"/>
        </w:rPr>
        <w:t>"Об утверждении Правил изменения по соглашению сторон срока исполнения контракта, и (или) цены контракта, и</w:t>
      </w:r>
      <w:proofErr w:type="gramEnd"/>
      <w:r w:rsidRPr="00475436">
        <w:rPr>
          <w:sz w:val="28"/>
          <w:szCs w:val="28"/>
        </w:rPr>
        <w:t xml:space="preserve"> (</w:t>
      </w:r>
      <w:proofErr w:type="gramStart"/>
      <w:r w:rsidRPr="00475436">
        <w:rPr>
          <w:sz w:val="28"/>
          <w:szCs w:val="28"/>
        </w:rPr>
        <w:t>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году"</w:t>
      </w:r>
      <w:r>
        <w:rPr>
          <w:sz w:val="28"/>
          <w:szCs w:val="28"/>
        </w:rPr>
        <w:t xml:space="preserve">, </w:t>
      </w:r>
      <w:r w:rsidRPr="001E28E5">
        <w:rPr>
          <w:sz w:val="28"/>
          <w:szCs w:val="28"/>
        </w:rPr>
        <w:t>Уставом муниципального</w:t>
      </w:r>
      <w:proofErr w:type="gramEnd"/>
      <w:r w:rsidRPr="001E28E5">
        <w:rPr>
          <w:sz w:val="28"/>
          <w:szCs w:val="28"/>
        </w:rPr>
        <w:t xml:space="preserve"> образования Соль-Илецкий городской округ, утвержденным решением Советом депутатов муниципального образования Соль-Илецкий горо</w:t>
      </w:r>
      <w:r>
        <w:rPr>
          <w:sz w:val="28"/>
          <w:szCs w:val="28"/>
        </w:rPr>
        <w:t>дской округ №51 от 11.12.2015г.</w:t>
      </w:r>
      <w:r w:rsidRPr="002F46F9">
        <w:rPr>
          <w:sz w:val="28"/>
          <w:szCs w:val="28"/>
        </w:rPr>
        <w:t>:</w:t>
      </w:r>
    </w:p>
    <w:p w:rsidR="00896A09" w:rsidRPr="002F46F9" w:rsidRDefault="00896A09" w:rsidP="00891966">
      <w:pPr>
        <w:pStyle w:val="a8"/>
        <w:spacing w:line="276" w:lineRule="auto"/>
        <w:ind w:right="305" w:firstLine="708"/>
        <w:jc w:val="both"/>
        <w:rPr>
          <w:sz w:val="28"/>
          <w:szCs w:val="28"/>
        </w:rPr>
      </w:pPr>
      <w:r w:rsidRPr="002F46F9">
        <w:rPr>
          <w:sz w:val="28"/>
          <w:szCs w:val="28"/>
        </w:rPr>
        <w:t>1.</w:t>
      </w:r>
      <w:r w:rsidRPr="002F46F9">
        <w:rPr>
          <w:sz w:val="28"/>
          <w:szCs w:val="28"/>
        </w:rPr>
        <w:tab/>
        <w:t>Утвердить Особенности изменения цены муниципальных контрактов, предметом которых являются строительство, реконструкция и техническое перевооружение объектов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 xml:space="preserve"> для муниципальных нужд муниципального образования Соль-Илецкий городской округ, срок исполнения которых завершается в 2016г.</w:t>
      </w:r>
      <w:r w:rsidRPr="002F46F9">
        <w:rPr>
          <w:sz w:val="28"/>
          <w:szCs w:val="28"/>
        </w:rPr>
        <w:t xml:space="preserve">, согласно приложению. </w:t>
      </w: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момента опубликования (обнародования).</w:t>
      </w: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AA7763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</w:t>
      </w: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  <w:r w:rsidRPr="00AA7763">
        <w:rPr>
          <w:sz w:val="28"/>
          <w:szCs w:val="28"/>
        </w:rPr>
        <w:t>городского округа –</w:t>
      </w:r>
      <w:r>
        <w:rPr>
          <w:sz w:val="28"/>
          <w:szCs w:val="28"/>
        </w:rPr>
        <w:t xml:space="preserve"> </w:t>
      </w:r>
    </w:p>
    <w:p w:rsidR="00896A09" w:rsidRPr="00AA7763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  <w:r w:rsidRPr="00AA7763">
        <w:rPr>
          <w:sz w:val="28"/>
          <w:szCs w:val="28"/>
        </w:rPr>
        <w:t xml:space="preserve">руководитель аппарата                                         </w:t>
      </w:r>
      <w:r w:rsidRPr="00AA7763">
        <w:rPr>
          <w:sz w:val="28"/>
          <w:szCs w:val="28"/>
        </w:rPr>
        <w:tab/>
      </w:r>
      <w:r w:rsidRPr="00AA776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</w:t>
      </w:r>
      <w:r w:rsidRPr="00AA7763">
        <w:rPr>
          <w:sz w:val="28"/>
          <w:szCs w:val="28"/>
        </w:rPr>
        <w:t xml:space="preserve">В.М. </w:t>
      </w:r>
      <w:proofErr w:type="spellStart"/>
      <w:r w:rsidRPr="00AA7763">
        <w:rPr>
          <w:sz w:val="28"/>
          <w:szCs w:val="28"/>
        </w:rPr>
        <w:t>Немич</w:t>
      </w:r>
      <w:proofErr w:type="spellEnd"/>
    </w:p>
    <w:p w:rsidR="00896A09" w:rsidRPr="00AA7763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6A09" w:rsidRDefault="00896A09" w:rsidP="00891966">
      <w:pPr>
        <w:pStyle w:val="a8"/>
        <w:spacing w:line="276" w:lineRule="auto"/>
        <w:ind w:right="305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В.С. Умрихин</w:t>
      </w: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</w:p>
    <w:p w:rsidR="00896A09" w:rsidRPr="002F46F9" w:rsidRDefault="00896A09" w:rsidP="00891966">
      <w:pPr>
        <w:pStyle w:val="a8"/>
        <w:spacing w:line="276" w:lineRule="auto"/>
        <w:ind w:right="305"/>
        <w:rPr>
          <w:sz w:val="20"/>
          <w:szCs w:val="20"/>
        </w:rPr>
      </w:pPr>
      <w:r w:rsidRPr="002F46F9">
        <w:rPr>
          <w:sz w:val="20"/>
          <w:szCs w:val="20"/>
        </w:rPr>
        <w:t>Разослано: в дело, в прокуратуру Соль-Илецкого района</w:t>
      </w:r>
      <w:r>
        <w:rPr>
          <w:sz w:val="20"/>
          <w:szCs w:val="20"/>
        </w:rPr>
        <w:t>, комитет экономического анализа и прогнозирования</w:t>
      </w:r>
      <w:r w:rsidRPr="002F46F9">
        <w:rPr>
          <w:sz w:val="20"/>
          <w:szCs w:val="20"/>
        </w:rPr>
        <w:t>.</w:t>
      </w:r>
    </w:p>
    <w:p w:rsidR="00896A09" w:rsidRDefault="00896A09" w:rsidP="00891966">
      <w:pPr>
        <w:pStyle w:val="a8"/>
        <w:spacing w:line="276" w:lineRule="auto"/>
        <w:ind w:right="305"/>
        <w:jc w:val="right"/>
        <w:rPr>
          <w:sz w:val="28"/>
          <w:szCs w:val="28"/>
        </w:rPr>
      </w:pPr>
    </w:p>
    <w:p w:rsidR="00896A09" w:rsidRDefault="00896A09" w:rsidP="00891966">
      <w:pPr>
        <w:pStyle w:val="a8"/>
        <w:spacing w:line="276" w:lineRule="auto"/>
        <w:ind w:right="305"/>
        <w:jc w:val="right"/>
        <w:rPr>
          <w:sz w:val="28"/>
          <w:szCs w:val="28"/>
        </w:rPr>
      </w:pPr>
      <w:r w:rsidRPr="002F46F9">
        <w:rPr>
          <w:sz w:val="28"/>
          <w:szCs w:val="28"/>
        </w:rPr>
        <w:t xml:space="preserve">Приложение к постановлению </w:t>
      </w:r>
    </w:p>
    <w:p w:rsidR="00896A09" w:rsidRPr="002F46F9" w:rsidRDefault="00896A09" w:rsidP="00891966">
      <w:pPr>
        <w:pStyle w:val="a8"/>
        <w:spacing w:line="276" w:lineRule="auto"/>
        <w:ind w:right="305"/>
        <w:jc w:val="right"/>
        <w:rPr>
          <w:sz w:val="28"/>
          <w:szCs w:val="28"/>
        </w:rPr>
      </w:pPr>
      <w:r w:rsidRPr="002F46F9">
        <w:rPr>
          <w:sz w:val="28"/>
          <w:szCs w:val="28"/>
        </w:rPr>
        <w:t>№____ от ________</w:t>
      </w:r>
      <w:r>
        <w:rPr>
          <w:sz w:val="28"/>
          <w:szCs w:val="28"/>
        </w:rPr>
        <w:t>________</w:t>
      </w: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276" w:lineRule="auto"/>
        <w:ind w:right="305"/>
        <w:jc w:val="both"/>
        <w:rPr>
          <w:sz w:val="28"/>
          <w:szCs w:val="28"/>
        </w:rPr>
      </w:pPr>
    </w:p>
    <w:p w:rsidR="00896A09" w:rsidRPr="002F46F9" w:rsidRDefault="00896A09" w:rsidP="00891966">
      <w:pPr>
        <w:pStyle w:val="a8"/>
        <w:spacing w:line="360" w:lineRule="auto"/>
        <w:ind w:right="305"/>
        <w:jc w:val="center"/>
        <w:rPr>
          <w:sz w:val="28"/>
          <w:szCs w:val="28"/>
        </w:rPr>
      </w:pPr>
      <w:r w:rsidRPr="002F46F9">
        <w:rPr>
          <w:sz w:val="28"/>
          <w:szCs w:val="28"/>
        </w:rPr>
        <w:t>Особенности изменения цены муниципальных контрактов,</w:t>
      </w:r>
    </w:p>
    <w:p w:rsidR="00896A09" w:rsidRPr="002F46F9" w:rsidRDefault="00896A09" w:rsidP="00891966">
      <w:pPr>
        <w:pStyle w:val="a8"/>
        <w:spacing w:line="360" w:lineRule="auto"/>
        <w:ind w:right="305"/>
        <w:jc w:val="center"/>
        <w:rPr>
          <w:sz w:val="28"/>
          <w:szCs w:val="28"/>
        </w:rPr>
      </w:pPr>
      <w:proofErr w:type="gramStart"/>
      <w:r w:rsidRPr="002F46F9">
        <w:rPr>
          <w:sz w:val="28"/>
          <w:szCs w:val="28"/>
        </w:rPr>
        <w:t>предметом</w:t>
      </w:r>
      <w:proofErr w:type="gramEnd"/>
      <w:r w:rsidRPr="002F46F9">
        <w:rPr>
          <w:sz w:val="28"/>
          <w:szCs w:val="28"/>
        </w:rPr>
        <w:t xml:space="preserve"> которых являются строительство, реконструкция и</w:t>
      </w:r>
    </w:p>
    <w:p w:rsidR="00896A09" w:rsidRPr="002F46F9" w:rsidRDefault="00896A09" w:rsidP="00891966">
      <w:pPr>
        <w:pStyle w:val="a8"/>
        <w:spacing w:line="360" w:lineRule="auto"/>
        <w:ind w:right="305"/>
        <w:jc w:val="center"/>
        <w:rPr>
          <w:sz w:val="28"/>
          <w:szCs w:val="28"/>
        </w:rPr>
      </w:pPr>
      <w:r w:rsidRPr="002F46F9">
        <w:rPr>
          <w:sz w:val="28"/>
          <w:szCs w:val="28"/>
        </w:rPr>
        <w:t>техническое перевооружение объектов капитального строительства,</w:t>
      </w:r>
    </w:p>
    <w:p w:rsidR="00896A09" w:rsidRPr="002F46F9" w:rsidRDefault="00896A09" w:rsidP="00891966">
      <w:pPr>
        <w:pStyle w:val="a8"/>
        <w:spacing w:line="360" w:lineRule="auto"/>
        <w:ind w:right="305"/>
        <w:jc w:val="center"/>
        <w:rPr>
          <w:sz w:val="28"/>
          <w:szCs w:val="28"/>
        </w:rPr>
      </w:pPr>
      <w:proofErr w:type="gramStart"/>
      <w:r w:rsidRPr="002F46F9">
        <w:rPr>
          <w:sz w:val="28"/>
          <w:szCs w:val="28"/>
        </w:rPr>
        <w:t>проведение работ по сохранению объектов культурного наследия (памятников</w:t>
      </w:r>
      <w:proofErr w:type="gramEnd"/>
    </w:p>
    <w:p w:rsidR="00896A09" w:rsidRDefault="00896A09" w:rsidP="00891966">
      <w:pPr>
        <w:pStyle w:val="a8"/>
        <w:spacing w:line="360" w:lineRule="auto"/>
        <w:ind w:right="305"/>
        <w:jc w:val="center"/>
        <w:rPr>
          <w:sz w:val="28"/>
          <w:szCs w:val="28"/>
        </w:rPr>
      </w:pPr>
      <w:r w:rsidRPr="002F46F9">
        <w:rPr>
          <w:sz w:val="28"/>
          <w:szCs w:val="28"/>
        </w:rPr>
        <w:t>истории и культуры) народов Российской Федерации</w:t>
      </w:r>
      <w:r>
        <w:rPr>
          <w:sz w:val="28"/>
          <w:szCs w:val="28"/>
        </w:rPr>
        <w:t xml:space="preserve"> для муниципальных нужд муниципального образования Соль-Илецкий городской округ</w:t>
      </w:r>
    </w:p>
    <w:p w:rsidR="00896A09" w:rsidRDefault="00896A09" w:rsidP="00891966">
      <w:pPr>
        <w:pStyle w:val="a8"/>
        <w:spacing w:line="360" w:lineRule="auto"/>
        <w:ind w:right="305"/>
        <w:jc w:val="center"/>
        <w:rPr>
          <w:sz w:val="28"/>
          <w:szCs w:val="28"/>
        </w:rPr>
      </w:pPr>
    </w:p>
    <w:p w:rsidR="00896A09" w:rsidRDefault="00896A09" w:rsidP="00891966">
      <w:pPr>
        <w:pStyle w:val="a8"/>
        <w:spacing w:line="360" w:lineRule="auto"/>
        <w:ind w:right="305" w:firstLine="708"/>
        <w:jc w:val="both"/>
        <w:rPr>
          <w:sz w:val="28"/>
          <w:szCs w:val="28"/>
        </w:rPr>
      </w:pPr>
      <w:proofErr w:type="gramStart"/>
      <w:r w:rsidRPr="002F46F9">
        <w:rPr>
          <w:sz w:val="28"/>
          <w:szCs w:val="28"/>
        </w:rPr>
        <w:t>Предельная цена контракта, заключенного до дня вступления в силу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(ранее 1 января 2014 года), срок исполнения по которому завершается в 2016 году, не может превышать значения, рассчитанного с применением следующей формулы:</w:t>
      </w:r>
      <w:proofErr w:type="gramEnd"/>
    </w:p>
    <w:p w:rsidR="00896A09" w:rsidRDefault="00896A09" w:rsidP="00891966">
      <w:pPr>
        <w:pStyle w:val="a8"/>
        <w:spacing w:line="360" w:lineRule="auto"/>
        <w:ind w:right="305" w:firstLine="708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360" w:lineRule="auto"/>
        <w:ind w:right="305" w:firstLine="708"/>
        <w:jc w:val="center"/>
        <w:rPr>
          <w:sz w:val="28"/>
          <w:szCs w:val="28"/>
        </w:rPr>
      </w:pPr>
      <w:proofErr w:type="gramStart"/>
      <w:r w:rsidRPr="007F77D2">
        <w:rPr>
          <w:sz w:val="28"/>
          <w:szCs w:val="28"/>
        </w:rPr>
        <w:t>Ц</w:t>
      </w:r>
      <w:proofErr w:type="gramEnd"/>
      <w:r w:rsidRPr="007F77D2">
        <w:rPr>
          <w:sz w:val="28"/>
          <w:szCs w:val="28"/>
        </w:rPr>
        <w:t xml:space="preserve"> нов. Контр. = </w:t>
      </w:r>
      <w:r>
        <w:rPr>
          <w:sz w:val="28"/>
          <w:szCs w:val="28"/>
        </w:rPr>
        <w:t xml:space="preserve">(ОСТ-ПСТ-ПЗ)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ИД2014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ИД2015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ИД2016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ТК+С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</w:p>
    <w:p w:rsidR="00896A09" w:rsidRPr="007F77D2" w:rsidRDefault="00896A09" w:rsidP="00891966">
      <w:pPr>
        <w:pStyle w:val="a8"/>
        <w:spacing w:line="360" w:lineRule="auto"/>
        <w:ind w:right="305" w:firstLine="708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ОСТ – общая сметная стоимость объекта в ценах 3 квартала 2012г.;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ПСТ – первоначальная стоимость работ подрядчика в ценах 3 квартала 2012г.;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ПЗ – прочие затраты заказчика в ценах 3 квартала 2012г.;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 w:rsidRPr="007F77D2">
        <w:rPr>
          <w:sz w:val="28"/>
          <w:szCs w:val="28"/>
        </w:rPr>
        <w:t>ИД 201</w:t>
      </w:r>
      <w:r>
        <w:rPr>
          <w:sz w:val="28"/>
          <w:szCs w:val="28"/>
        </w:rPr>
        <w:t>4</w:t>
      </w:r>
      <w:r w:rsidRPr="007F77D2">
        <w:rPr>
          <w:sz w:val="28"/>
          <w:szCs w:val="28"/>
        </w:rPr>
        <w:t xml:space="preserve"> - прогнозный индекс-дефлятор "Инвестиции в основной капитал за счет всех источников финансирования" 201</w:t>
      </w:r>
      <w:r>
        <w:rPr>
          <w:sz w:val="28"/>
          <w:szCs w:val="28"/>
        </w:rPr>
        <w:t xml:space="preserve">4 года в процентах к 2013 году </w:t>
      </w:r>
      <w:r w:rsidRPr="007F77D2">
        <w:rPr>
          <w:sz w:val="28"/>
          <w:szCs w:val="28"/>
        </w:rPr>
        <w:t>(</w:t>
      </w:r>
      <w:r>
        <w:rPr>
          <w:sz w:val="28"/>
          <w:szCs w:val="28"/>
        </w:rPr>
        <w:t>103,3</w:t>
      </w:r>
      <w:r w:rsidRPr="007F77D2">
        <w:rPr>
          <w:sz w:val="28"/>
          <w:szCs w:val="28"/>
        </w:rPr>
        <w:t xml:space="preserve"> %);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 w:rsidRPr="007F77D2">
        <w:rPr>
          <w:sz w:val="28"/>
          <w:szCs w:val="28"/>
        </w:rPr>
        <w:t>ИД 201</w:t>
      </w:r>
      <w:r>
        <w:rPr>
          <w:sz w:val="28"/>
          <w:szCs w:val="28"/>
        </w:rPr>
        <w:t>5</w:t>
      </w:r>
      <w:r w:rsidRPr="007F77D2">
        <w:rPr>
          <w:sz w:val="28"/>
          <w:szCs w:val="28"/>
        </w:rPr>
        <w:t xml:space="preserve"> - прогнозный индекс-дефлятор "Инвестиции в основной капитал за счет всех источников финансирования" 201</w:t>
      </w:r>
      <w:r>
        <w:rPr>
          <w:sz w:val="28"/>
          <w:szCs w:val="28"/>
        </w:rPr>
        <w:t xml:space="preserve">5 года в процентах к 2014 году </w:t>
      </w:r>
      <w:r w:rsidRPr="007F77D2">
        <w:rPr>
          <w:sz w:val="28"/>
          <w:szCs w:val="28"/>
        </w:rPr>
        <w:t>(</w:t>
      </w:r>
      <w:r>
        <w:rPr>
          <w:sz w:val="28"/>
          <w:szCs w:val="28"/>
        </w:rPr>
        <w:t>110,8</w:t>
      </w:r>
      <w:r w:rsidRPr="007F77D2">
        <w:rPr>
          <w:sz w:val="28"/>
          <w:szCs w:val="28"/>
        </w:rPr>
        <w:t xml:space="preserve"> %);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 w:rsidRPr="007F77D2">
        <w:rPr>
          <w:sz w:val="28"/>
          <w:szCs w:val="28"/>
        </w:rPr>
        <w:t>ИД 201</w:t>
      </w:r>
      <w:r>
        <w:rPr>
          <w:sz w:val="28"/>
          <w:szCs w:val="28"/>
        </w:rPr>
        <w:t>6</w:t>
      </w:r>
      <w:r w:rsidRPr="007F77D2">
        <w:rPr>
          <w:sz w:val="28"/>
          <w:szCs w:val="28"/>
        </w:rPr>
        <w:t xml:space="preserve"> - прогнозный индекс-дефлятор "Инвестиции в основной капитал за счет всех источников финансирования" 201</w:t>
      </w:r>
      <w:r>
        <w:rPr>
          <w:sz w:val="28"/>
          <w:szCs w:val="28"/>
        </w:rPr>
        <w:t>6 года в процентах к 2015 году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одобренный Правительством Российской Федерации в составе прогноза социально-экономического развития Российской Федерации </w:t>
      </w:r>
      <w:r w:rsidRPr="007F77D2">
        <w:rPr>
          <w:sz w:val="28"/>
          <w:szCs w:val="28"/>
        </w:rPr>
        <w:t>(</w:t>
      </w:r>
      <w:r>
        <w:rPr>
          <w:sz w:val="28"/>
          <w:szCs w:val="28"/>
        </w:rPr>
        <w:t>107</w:t>
      </w:r>
      <w:r w:rsidRPr="007F77D2">
        <w:rPr>
          <w:sz w:val="28"/>
          <w:szCs w:val="28"/>
        </w:rPr>
        <w:t xml:space="preserve"> %);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>ТК – тендерный коэффициент (0,995%)</w:t>
      </w:r>
    </w:p>
    <w:p w:rsidR="00896A09" w:rsidRPr="007F77D2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– стоимость выполненных работ по муниципальному контракту на 01.01.2016г.</w:t>
      </w:r>
    </w:p>
    <w:p w:rsidR="00896A09" w:rsidRDefault="00896A09" w:rsidP="00891966">
      <w:pPr>
        <w:pStyle w:val="a8"/>
        <w:spacing w:line="360" w:lineRule="auto"/>
        <w:ind w:right="305"/>
        <w:jc w:val="both"/>
        <w:rPr>
          <w:sz w:val="28"/>
          <w:szCs w:val="28"/>
        </w:rPr>
      </w:pPr>
    </w:p>
    <w:p w:rsidR="00896A09" w:rsidRDefault="00896A09" w:rsidP="00891966">
      <w:pPr>
        <w:pStyle w:val="a8"/>
        <w:spacing w:line="360" w:lineRule="auto"/>
        <w:jc w:val="both"/>
        <w:rPr>
          <w:sz w:val="28"/>
          <w:szCs w:val="28"/>
        </w:rPr>
      </w:pPr>
    </w:p>
    <w:p w:rsidR="00896A09" w:rsidRDefault="00896A09" w:rsidP="00104841">
      <w:pPr>
        <w:pStyle w:val="a8"/>
        <w:jc w:val="both"/>
        <w:rPr>
          <w:sz w:val="28"/>
          <w:szCs w:val="28"/>
        </w:rPr>
      </w:pPr>
    </w:p>
    <w:sectPr w:rsidR="00896A09" w:rsidSect="00891966">
      <w:pgSz w:w="11906" w:h="16838"/>
      <w:pgMar w:top="851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C3"/>
    <w:multiLevelType w:val="hybridMultilevel"/>
    <w:tmpl w:val="934435AE"/>
    <w:lvl w:ilvl="0" w:tplc="A524030E">
      <w:start w:val="1"/>
      <w:numFmt w:val="decimal"/>
      <w:lvlText w:val="%1."/>
      <w:lvlJc w:val="left"/>
      <w:pPr>
        <w:ind w:left="155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1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36E1"/>
    <w:rsid w:val="0004537B"/>
    <w:rsid w:val="00063C8A"/>
    <w:rsid w:val="00080B0E"/>
    <w:rsid w:val="000967B1"/>
    <w:rsid w:val="000B43CE"/>
    <w:rsid w:val="000B691E"/>
    <w:rsid w:val="000D0307"/>
    <w:rsid w:val="000D1B05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4563"/>
    <w:rsid w:val="001551CB"/>
    <w:rsid w:val="0016076E"/>
    <w:rsid w:val="00162267"/>
    <w:rsid w:val="00167ED0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1C3A47"/>
    <w:rsid w:val="001E28E5"/>
    <w:rsid w:val="00201C7F"/>
    <w:rsid w:val="00206F7D"/>
    <w:rsid w:val="002120E5"/>
    <w:rsid w:val="002159B2"/>
    <w:rsid w:val="002259EB"/>
    <w:rsid w:val="00242A89"/>
    <w:rsid w:val="00244674"/>
    <w:rsid w:val="00256402"/>
    <w:rsid w:val="0026149A"/>
    <w:rsid w:val="0026359B"/>
    <w:rsid w:val="0026395B"/>
    <w:rsid w:val="0027058A"/>
    <w:rsid w:val="002705AD"/>
    <w:rsid w:val="002721E0"/>
    <w:rsid w:val="00272C1C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2F46F9"/>
    <w:rsid w:val="00302DB0"/>
    <w:rsid w:val="00306796"/>
    <w:rsid w:val="00314418"/>
    <w:rsid w:val="00317273"/>
    <w:rsid w:val="003365AB"/>
    <w:rsid w:val="003406F2"/>
    <w:rsid w:val="0034105C"/>
    <w:rsid w:val="00341B7A"/>
    <w:rsid w:val="00341FC4"/>
    <w:rsid w:val="00343ABC"/>
    <w:rsid w:val="00353139"/>
    <w:rsid w:val="003551FC"/>
    <w:rsid w:val="00361E1F"/>
    <w:rsid w:val="00371A16"/>
    <w:rsid w:val="00372342"/>
    <w:rsid w:val="0037476D"/>
    <w:rsid w:val="003762E1"/>
    <w:rsid w:val="00384613"/>
    <w:rsid w:val="003853BF"/>
    <w:rsid w:val="003975DA"/>
    <w:rsid w:val="003B3B9F"/>
    <w:rsid w:val="003C38FD"/>
    <w:rsid w:val="003C486E"/>
    <w:rsid w:val="003D1233"/>
    <w:rsid w:val="003D4061"/>
    <w:rsid w:val="003D4205"/>
    <w:rsid w:val="003D6E05"/>
    <w:rsid w:val="003E0921"/>
    <w:rsid w:val="003E2610"/>
    <w:rsid w:val="003F040A"/>
    <w:rsid w:val="003F5E9F"/>
    <w:rsid w:val="003F7E57"/>
    <w:rsid w:val="004000EB"/>
    <w:rsid w:val="00403F5B"/>
    <w:rsid w:val="0040709F"/>
    <w:rsid w:val="00411F39"/>
    <w:rsid w:val="004205B6"/>
    <w:rsid w:val="00422777"/>
    <w:rsid w:val="00445B88"/>
    <w:rsid w:val="00445C0E"/>
    <w:rsid w:val="0044756B"/>
    <w:rsid w:val="0045013E"/>
    <w:rsid w:val="00450750"/>
    <w:rsid w:val="004629DA"/>
    <w:rsid w:val="004636F6"/>
    <w:rsid w:val="0046739F"/>
    <w:rsid w:val="00471092"/>
    <w:rsid w:val="004730AB"/>
    <w:rsid w:val="00475436"/>
    <w:rsid w:val="00476AF0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F13F1"/>
    <w:rsid w:val="00501051"/>
    <w:rsid w:val="00506E2B"/>
    <w:rsid w:val="00511D90"/>
    <w:rsid w:val="00512E94"/>
    <w:rsid w:val="00513196"/>
    <w:rsid w:val="005151DA"/>
    <w:rsid w:val="005224FB"/>
    <w:rsid w:val="005227BD"/>
    <w:rsid w:val="00522C89"/>
    <w:rsid w:val="00523529"/>
    <w:rsid w:val="00524610"/>
    <w:rsid w:val="00525878"/>
    <w:rsid w:val="00530A97"/>
    <w:rsid w:val="00530CB0"/>
    <w:rsid w:val="00547705"/>
    <w:rsid w:val="005607CA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B72"/>
    <w:rsid w:val="00611611"/>
    <w:rsid w:val="006150CF"/>
    <w:rsid w:val="00634289"/>
    <w:rsid w:val="00647E5C"/>
    <w:rsid w:val="00657CE4"/>
    <w:rsid w:val="00657F60"/>
    <w:rsid w:val="00661240"/>
    <w:rsid w:val="006626D6"/>
    <w:rsid w:val="00663BB0"/>
    <w:rsid w:val="00670929"/>
    <w:rsid w:val="00670D38"/>
    <w:rsid w:val="00670D78"/>
    <w:rsid w:val="0068112A"/>
    <w:rsid w:val="006B19E3"/>
    <w:rsid w:val="006D1062"/>
    <w:rsid w:val="006D5A6E"/>
    <w:rsid w:val="006E4A1E"/>
    <w:rsid w:val="006E4E06"/>
    <w:rsid w:val="006E5F2B"/>
    <w:rsid w:val="006E6878"/>
    <w:rsid w:val="006E7DBA"/>
    <w:rsid w:val="006F1529"/>
    <w:rsid w:val="006F7EA4"/>
    <w:rsid w:val="00701123"/>
    <w:rsid w:val="00702079"/>
    <w:rsid w:val="0070422C"/>
    <w:rsid w:val="00722BCD"/>
    <w:rsid w:val="00723705"/>
    <w:rsid w:val="0072727E"/>
    <w:rsid w:val="00730C54"/>
    <w:rsid w:val="00734B74"/>
    <w:rsid w:val="00736C87"/>
    <w:rsid w:val="00740D63"/>
    <w:rsid w:val="00746749"/>
    <w:rsid w:val="007473BD"/>
    <w:rsid w:val="0076614F"/>
    <w:rsid w:val="007734D7"/>
    <w:rsid w:val="00776D8D"/>
    <w:rsid w:val="007778B1"/>
    <w:rsid w:val="0078146B"/>
    <w:rsid w:val="007876AA"/>
    <w:rsid w:val="00790B8E"/>
    <w:rsid w:val="0079141E"/>
    <w:rsid w:val="0079302D"/>
    <w:rsid w:val="007A5DB9"/>
    <w:rsid w:val="007A7E8B"/>
    <w:rsid w:val="007B0744"/>
    <w:rsid w:val="007B5C4A"/>
    <w:rsid w:val="007B75F2"/>
    <w:rsid w:val="007C4D78"/>
    <w:rsid w:val="007D54BA"/>
    <w:rsid w:val="007E1147"/>
    <w:rsid w:val="007F6A1B"/>
    <w:rsid w:val="007F74DD"/>
    <w:rsid w:val="007F77D2"/>
    <w:rsid w:val="00802B2F"/>
    <w:rsid w:val="00807799"/>
    <w:rsid w:val="00810518"/>
    <w:rsid w:val="00810C35"/>
    <w:rsid w:val="00821FF3"/>
    <w:rsid w:val="008233EF"/>
    <w:rsid w:val="0082758F"/>
    <w:rsid w:val="00841479"/>
    <w:rsid w:val="0084375E"/>
    <w:rsid w:val="00844AE6"/>
    <w:rsid w:val="00846EC9"/>
    <w:rsid w:val="0085042C"/>
    <w:rsid w:val="008506D7"/>
    <w:rsid w:val="00854A6C"/>
    <w:rsid w:val="008628DC"/>
    <w:rsid w:val="008653B2"/>
    <w:rsid w:val="00886888"/>
    <w:rsid w:val="00891966"/>
    <w:rsid w:val="00896247"/>
    <w:rsid w:val="00896A09"/>
    <w:rsid w:val="0089773A"/>
    <w:rsid w:val="008B6169"/>
    <w:rsid w:val="008E152F"/>
    <w:rsid w:val="008F655D"/>
    <w:rsid w:val="008F6F33"/>
    <w:rsid w:val="00905B32"/>
    <w:rsid w:val="00917623"/>
    <w:rsid w:val="009249BD"/>
    <w:rsid w:val="00933D05"/>
    <w:rsid w:val="00935A7D"/>
    <w:rsid w:val="00941EEA"/>
    <w:rsid w:val="00947F68"/>
    <w:rsid w:val="009556D6"/>
    <w:rsid w:val="00963CC8"/>
    <w:rsid w:val="00964B7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B41B7"/>
    <w:rsid w:val="009C2086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60DE1"/>
    <w:rsid w:val="00A64082"/>
    <w:rsid w:val="00A773FC"/>
    <w:rsid w:val="00A82851"/>
    <w:rsid w:val="00A854EE"/>
    <w:rsid w:val="00A912AC"/>
    <w:rsid w:val="00A93211"/>
    <w:rsid w:val="00A9780A"/>
    <w:rsid w:val="00AA3C41"/>
    <w:rsid w:val="00AA7763"/>
    <w:rsid w:val="00AC2997"/>
    <w:rsid w:val="00AC470A"/>
    <w:rsid w:val="00AD2B66"/>
    <w:rsid w:val="00AD708B"/>
    <w:rsid w:val="00AE10FC"/>
    <w:rsid w:val="00AE48FF"/>
    <w:rsid w:val="00B07A9F"/>
    <w:rsid w:val="00B23474"/>
    <w:rsid w:val="00B3391F"/>
    <w:rsid w:val="00B85645"/>
    <w:rsid w:val="00B9728A"/>
    <w:rsid w:val="00BA14B1"/>
    <w:rsid w:val="00BA196E"/>
    <w:rsid w:val="00BA6BF8"/>
    <w:rsid w:val="00BB3B8D"/>
    <w:rsid w:val="00BC2775"/>
    <w:rsid w:val="00BC295D"/>
    <w:rsid w:val="00BC6288"/>
    <w:rsid w:val="00BD2B6F"/>
    <w:rsid w:val="00BD7D37"/>
    <w:rsid w:val="00BF486F"/>
    <w:rsid w:val="00BF5563"/>
    <w:rsid w:val="00C03634"/>
    <w:rsid w:val="00C050A1"/>
    <w:rsid w:val="00C17A45"/>
    <w:rsid w:val="00C35917"/>
    <w:rsid w:val="00C41FB9"/>
    <w:rsid w:val="00C4610F"/>
    <w:rsid w:val="00C60DA8"/>
    <w:rsid w:val="00C6236E"/>
    <w:rsid w:val="00C63C13"/>
    <w:rsid w:val="00C7159D"/>
    <w:rsid w:val="00C73995"/>
    <w:rsid w:val="00C73BD3"/>
    <w:rsid w:val="00C90A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4028"/>
    <w:rsid w:val="00D016AC"/>
    <w:rsid w:val="00D11108"/>
    <w:rsid w:val="00D16C97"/>
    <w:rsid w:val="00D227D9"/>
    <w:rsid w:val="00D22C70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94CFF"/>
    <w:rsid w:val="00DA6789"/>
    <w:rsid w:val="00DA7033"/>
    <w:rsid w:val="00DB30D6"/>
    <w:rsid w:val="00DB409E"/>
    <w:rsid w:val="00DB4931"/>
    <w:rsid w:val="00DB78E7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258E4"/>
    <w:rsid w:val="00E261AD"/>
    <w:rsid w:val="00E36C13"/>
    <w:rsid w:val="00E40A95"/>
    <w:rsid w:val="00E47F5A"/>
    <w:rsid w:val="00E57048"/>
    <w:rsid w:val="00E617C9"/>
    <w:rsid w:val="00E67EC8"/>
    <w:rsid w:val="00E7103B"/>
    <w:rsid w:val="00E77A49"/>
    <w:rsid w:val="00E82166"/>
    <w:rsid w:val="00E9008D"/>
    <w:rsid w:val="00EB1C0E"/>
    <w:rsid w:val="00EB71B1"/>
    <w:rsid w:val="00ED0C6C"/>
    <w:rsid w:val="00ED6678"/>
    <w:rsid w:val="00ED6EBE"/>
    <w:rsid w:val="00EE455D"/>
    <w:rsid w:val="00EE6247"/>
    <w:rsid w:val="00EE74F9"/>
    <w:rsid w:val="00EF35AF"/>
    <w:rsid w:val="00EF44DF"/>
    <w:rsid w:val="00EF5512"/>
    <w:rsid w:val="00F01100"/>
    <w:rsid w:val="00F173CD"/>
    <w:rsid w:val="00F24A14"/>
    <w:rsid w:val="00F2571A"/>
    <w:rsid w:val="00F33AD7"/>
    <w:rsid w:val="00F3748B"/>
    <w:rsid w:val="00F4287F"/>
    <w:rsid w:val="00F43306"/>
    <w:rsid w:val="00F46DC4"/>
    <w:rsid w:val="00F5260D"/>
    <w:rsid w:val="00F6394F"/>
    <w:rsid w:val="00F70C94"/>
    <w:rsid w:val="00F841ED"/>
    <w:rsid w:val="00FA325C"/>
    <w:rsid w:val="00FA59E7"/>
    <w:rsid w:val="00FA7BC6"/>
    <w:rsid w:val="00FB2A96"/>
    <w:rsid w:val="00FC6A54"/>
    <w:rsid w:val="00FD1F5D"/>
    <w:rsid w:val="00FD2FE6"/>
    <w:rsid w:val="00FD482D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D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D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0DE1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0DE1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60DE1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3591</Characters>
  <Application>Microsoft Office Word</Application>
  <DocSecurity>0</DocSecurity>
  <Lines>29</Lines>
  <Paragraphs>8</Paragraphs>
  <ScaleCrop>false</ScaleCrop>
  <Company>SamForum.ws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dc:description/>
  <cp:lastModifiedBy>-</cp:lastModifiedBy>
  <cp:revision>2</cp:revision>
  <cp:lastPrinted>2016-09-12T17:39:00Z</cp:lastPrinted>
  <dcterms:created xsi:type="dcterms:W3CDTF">2017-02-07T10:57:00Z</dcterms:created>
  <dcterms:modified xsi:type="dcterms:W3CDTF">2017-02-07T10:57:00Z</dcterms:modified>
</cp:coreProperties>
</file>