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000"/>
      </w:tblPr>
      <w:tblGrid>
        <w:gridCol w:w="6771"/>
      </w:tblGrid>
      <w:tr w:rsidR="005B4F4A" w:rsidRPr="00041DCE" w:rsidTr="0022667B">
        <w:trPr>
          <w:trHeight w:val="3405"/>
        </w:trPr>
        <w:tc>
          <w:tcPr>
            <w:tcW w:w="6771" w:type="dxa"/>
          </w:tcPr>
          <w:p w:rsidR="005B4F4A" w:rsidRPr="00041DCE" w:rsidRDefault="005B4F4A" w:rsidP="0022667B"/>
          <w:p w:rsidR="005B4F4A" w:rsidRPr="00041DCE" w:rsidRDefault="005B4F4A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АДМИНИСТРАЦИЯ</w:t>
            </w:r>
          </w:p>
          <w:p w:rsidR="005B4F4A" w:rsidRPr="00041DCE" w:rsidRDefault="005B4F4A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МУНИЦИПАЛЬНОГО</w:t>
            </w:r>
          </w:p>
          <w:p w:rsidR="005B4F4A" w:rsidRPr="00041DCE" w:rsidRDefault="005B4F4A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ОБРАЗОВАНИЯ</w:t>
            </w:r>
          </w:p>
          <w:p w:rsidR="005B4F4A" w:rsidRPr="00041DCE" w:rsidRDefault="005B4F4A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СОЛЬ-ИЛЕЦКИЙ</w:t>
            </w:r>
          </w:p>
          <w:p w:rsidR="005B4F4A" w:rsidRPr="00041DCE" w:rsidRDefault="005B4F4A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ГОРОДСКОЙ ОКРУГ</w:t>
            </w:r>
          </w:p>
          <w:p w:rsidR="005B4F4A" w:rsidRPr="00041DCE" w:rsidRDefault="005B4F4A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ОРЕНБУРГСКОЙ  ОБЛАСТИ</w:t>
            </w:r>
          </w:p>
          <w:p w:rsidR="005B4F4A" w:rsidRPr="00041DCE" w:rsidRDefault="005B4F4A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П О С Т А Н О В Л Е Н И Е</w:t>
            </w:r>
          </w:p>
          <w:p w:rsidR="005B4F4A" w:rsidRPr="00041DCE" w:rsidRDefault="005B4F4A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5B4F4A" w:rsidRPr="00041DCE" w:rsidRDefault="005B4F4A" w:rsidP="0022667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13.09.2018  №  2087-п</w:t>
            </w:r>
          </w:p>
          <w:p w:rsidR="005B4F4A" w:rsidRPr="00041DCE" w:rsidRDefault="005B4F4A" w:rsidP="0022667B">
            <w:pPr>
              <w:ind w:left="753"/>
            </w:pPr>
          </w:p>
        </w:tc>
      </w:tr>
    </w:tbl>
    <w:p w:rsidR="005B4F4A" w:rsidRPr="00BF60ED" w:rsidRDefault="005B4F4A" w:rsidP="005B4F4A">
      <w:pPr>
        <w:pStyle w:val="ConsPlusTitle"/>
        <w:ind w:right="427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2276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4F4A" w:rsidRPr="00770497" w:rsidRDefault="005B4F4A" w:rsidP="005B4F4A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F4A" w:rsidRDefault="005B4F4A" w:rsidP="005B4F4A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5B4F4A" w:rsidRPr="00EA67C8" w:rsidRDefault="005B4F4A" w:rsidP="005B4F4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5B4F4A" w:rsidRPr="00EA67C8" w:rsidRDefault="005B4F4A" w:rsidP="005B4F4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ст.</w:t>
      </w:r>
      <w:r>
        <w:rPr>
          <w:sz w:val="28"/>
        </w:rPr>
        <w:t>22-24 Жилищного Кодекса Российской федерации</w:t>
      </w:r>
      <w:r>
        <w:rPr>
          <w:sz w:val="28"/>
          <w:szCs w:val="28"/>
        </w:rPr>
        <w:t>, ст.</w:t>
      </w:r>
      <w:r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>
        <w:rPr>
          <w:sz w:val="28"/>
          <w:szCs w:val="28"/>
        </w:rPr>
        <w:t>енбургской области, Федеральным законом</w:t>
      </w:r>
      <w:r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5B4F4A" w:rsidRDefault="005B4F4A" w:rsidP="005B4F4A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4A" w:rsidRPr="00472492" w:rsidRDefault="005B4F4A" w:rsidP="005B4F4A">
      <w:pPr>
        <w:pStyle w:val="ConsPlusTitle"/>
        <w:ind w:right="-1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образования Соль-Илецкий городской округ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03.06.2016 г. № 1734-п «Об утверждении административного регламента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дача документа, подтверждающего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решения о переводе или об отказе в переводе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жилого помещения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нежилое помещение или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нежилого помещения в жилое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от 22.12.2017 г. № 3343-п «О внесении изменений в постановление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администрации Соль-Илецкого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от 03.06.2016 г. № 1734-п  «Об утверждении административного регламента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дача документа, подтверждающего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решения о переводе или об отказе в переводе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жилого помещения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нежилое помещение или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нежилого помещения в жилое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от 25.05.2018 г. № 1178-п «О внесении изменений в постановление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администрации Соль-Илецкого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от 03.06.2016 г. № 1734-п 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административного регламента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дача документа, подтверждающего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решения о переводе или об отказе в переводе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жилого помещения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нежилое помещение или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нежилого помещения в жилое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помещение</w:t>
      </w:r>
      <w:r>
        <w:rPr>
          <w:rFonts w:ascii="Times New Roman" w:hAnsi="Times New Roman" w:cs="Times New Roman"/>
          <w:b w:val="0"/>
          <w:sz w:val="28"/>
          <w:szCs w:val="28"/>
        </w:rPr>
        <w:t>» считать утратившими силу.</w:t>
      </w:r>
    </w:p>
    <w:p w:rsidR="005B4F4A" w:rsidRDefault="005B4F4A" w:rsidP="005B4F4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5B4F4A" w:rsidRDefault="005B4F4A" w:rsidP="005B4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5B4F4A" w:rsidRPr="007E2DEE" w:rsidRDefault="005B4F4A" w:rsidP="005B4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5B4F4A" w:rsidRDefault="005B4F4A" w:rsidP="005B4F4A">
      <w:pPr>
        <w:rPr>
          <w:sz w:val="28"/>
        </w:rPr>
      </w:pPr>
    </w:p>
    <w:p w:rsidR="005B4F4A" w:rsidRDefault="005B4F4A" w:rsidP="005B4F4A">
      <w:pPr>
        <w:rPr>
          <w:sz w:val="28"/>
        </w:rPr>
      </w:pPr>
    </w:p>
    <w:p w:rsidR="005B4F4A" w:rsidRDefault="005B4F4A" w:rsidP="005B4F4A">
      <w:pPr>
        <w:rPr>
          <w:sz w:val="28"/>
        </w:rPr>
      </w:pPr>
    </w:p>
    <w:p w:rsidR="005B4F4A" w:rsidRPr="00ED3003" w:rsidRDefault="005B4F4A" w:rsidP="005B4F4A">
      <w:pPr>
        <w:rPr>
          <w:sz w:val="28"/>
        </w:rPr>
      </w:pPr>
    </w:p>
    <w:p w:rsidR="005B4F4A" w:rsidRPr="00ED3003" w:rsidRDefault="005B4F4A" w:rsidP="005B4F4A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5B4F4A" w:rsidRDefault="005B4F4A" w:rsidP="005B4F4A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   А.А. Кузьмин</w:t>
      </w:r>
    </w:p>
    <w:p w:rsidR="005B4F4A" w:rsidRPr="00ED3003" w:rsidRDefault="005B4F4A" w:rsidP="005B4F4A">
      <w:pPr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ind w:right="-1050"/>
        <w:rPr>
          <w:i/>
        </w:rPr>
      </w:pPr>
    </w:p>
    <w:p w:rsidR="005B4F4A" w:rsidRPr="00CF7023" w:rsidRDefault="005B4F4A" w:rsidP="005B4F4A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5B4F4A" w:rsidRPr="00CF7023" w:rsidRDefault="005B4F4A" w:rsidP="005B4F4A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5B4F4A" w:rsidRPr="00CF7023" w:rsidRDefault="005B4F4A" w:rsidP="005B4F4A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</w:t>
      </w:r>
      <w:r w:rsidRPr="00CF7023">
        <w:rPr>
          <w:sz w:val="28"/>
        </w:rPr>
        <w:t>Е.В.Телушкина</w:t>
      </w:r>
    </w:p>
    <w:p w:rsidR="005B4F4A" w:rsidRPr="00CF7023" w:rsidRDefault="005B4F4A" w:rsidP="005B4F4A">
      <w:pPr>
        <w:tabs>
          <w:tab w:val="left" w:pos="7016"/>
        </w:tabs>
        <w:rPr>
          <w:sz w:val="28"/>
        </w:rPr>
      </w:pPr>
    </w:p>
    <w:p w:rsidR="005B4F4A" w:rsidRPr="00CF7023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Pr="00CF7023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tabs>
          <w:tab w:val="left" w:pos="7016"/>
        </w:tabs>
        <w:rPr>
          <w:sz w:val="28"/>
        </w:rPr>
      </w:pPr>
    </w:p>
    <w:p w:rsidR="005B4F4A" w:rsidRDefault="005B4F4A" w:rsidP="005B4F4A">
      <w:pPr>
        <w:jc w:val="both"/>
      </w:pPr>
      <w:bookmarkStart w:id="0" w:name="_GoBack"/>
      <w:bookmarkEnd w:id="0"/>
      <w:r>
        <w:t>Р</w:t>
      </w:r>
      <w:r w:rsidRPr="00F449D5">
        <w:t xml:space="preserve">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B90BD0" w:rsidRDefault="007B67FF" w:rsidP="00B90BD0">
      <w:pPr>
        <w:jc w:val="right"/>
      </w:pPr>
      <w:r w:rsidRPr="007B67FF">
        <w:lastRenderedPageBreak/>
        <w:t xml:space="preserve"> </w:t>
      </w:r>
      <w:r w:rsidR="00B90BD0">
        <w:t xml:space="preserve">Приложение к постановлению                                                                                                       администрации Соль-Илецкого                                                                                                        </w:t>
      </w:r>
    </w:p>
    <w:p w:rsidR="00B90BD0" w:rsidRDefault="00B90BD0" w:rsidP="00B90BD0">
      <w:pPr>
        <w:jc w:val="center"/>
      </w:pPr>
      <w:r>
        <w:t xml:space="preserve">                                                                               </w:t>
      </w:r>
      <w:r w:rsidR="005619F7">
        <w:t xml:space="preserve">        </w:t>
      </w:r>
      <w:r>
        <w:t xml:space="preserve"> городского округа                                                                                                                                                                      </w:t>
      </w:r>
    </w:p>
    <w:p w:rsidR="007B67FF" w:rsidRPr="007B67FF" w:rsidRDefault="00B90BD0" w:rsidP="00B90BD0">
      <w:pPr>
        <w:ind w:firstLine="4962"/>
      </w:pPr>
      <w:r>
        <w:t xml:space="preserve">                   </w:t>
      </w:r>
      <w:r w:rsidR="005619F7">
        <w:t xml:space="preserve">       </w:t>
      </w:r>
      <w:r>
        <w:t xml:space="preserve"> от </w:t>
      </w:r>
      <w:r w:rsidR="007D3C81">
        <w:t>13.09.2018 № 2087-п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9650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5038" w:rsidRPr="00965038">
        <w:rPr>
          <w:rFonts w:ascii="Times New Roman" w:hAnsi="Times New Roman" w:cs="Times New Roman"/>
          <w:b w:val="0"/>
          <w:sz w:val="24"/>
          <w:szCs w:val="24"/>
        </w:rPr>
        <w:t>Администрацией муниципального образования Соль-Илецкий городской округ</w:t>
      </w:r>
      <w:r w:rsidR="00965038">
        <w:t xml:space="preserve">  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приеме документов и выдаче уведомлений о переводе или об отказе в переводе жилого помещения в нежил</w:t>
      </w:r>
      <w:r w:rsidR="00965038">
        <w:rPr>
          <w:rFonts w:ascii="Times New Roman" w:hAnsi="Times New Roman" w:cs="Times New Roman"/>
          <w:b w:val="0"/>
          <w:sz w:val="24"/>
          <w:szCs w:val="24"/>
        </w:rPr>
        <w:t xml:space="preserve">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</w:t>
      </w:r>
      <w:r w:rsidR="00D4172C">
        <w:rPr>
          <w:rFonts w:ascii="Times New Roman" w:hAnsi="Times New Roman" w:cs="Times New Roman"/>
          <w:sz w:val="24"/>
          <w:szCs w:val="24"/>
        </w:rPr>
        <w:t xml:space="preserve">, </w:t>
      </w:r>
      <w:r w:rsidRPr="000506C7">
        <w:rPr>
          <w:rFonts w:ascii="Times New Roman" w:hAnsi="Times New Roman" w:cs="Times New Roman"/>
          <w:sz w:val="24"/>
          <w:szCs w:val="24"/>
        </w:rPr>
        <w:t>физические лица</w:t>
      </w:r>
      <w:r w:rsidR="00D4172C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</w:t>
      </w:r>
      <w:r w:rsidRPr="000506C7">
        <w:rPr>
          <w:rFonts w:ascii="Times New Roman" w:hAnsi="Times New Roman" w:cs="Times New Roman"/>
          <w:sz w:val="24"/>
          <w:szCs w:val="24"/>
        </w:rPr>
        <w:t xml:space="preserve">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3. Наименование органа местного самоуправления: Администрация муниципального  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образования Соль-Илецкий городской округ Оренбургской области.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 xml:space="preserve">Почтовый адрес: 461500, Оренбургская область, г.Соль-Илецк, ул.Карла Маркса, д.6, каб.37. </w:t>
      </w:r>
    </w:p>
    <w:p w:rsidR="00965038" w:rsidRDefault="00965038" w:rsidP="00965038">
      <w:pPr>
        <w:widowControl w:val="0"/>
        <w:autoSpaceDE w:val="0"/>
        <w:autoSpaceDN w:val="0"/>
        <w:adjustRightInd w:val="0"/>
        <w:spacing w:line="58" w:lineRule="exact"/>
      </w:pP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61" w:lineRule="auto"/>
        <w:ind w:left="560" w:right="240"/>
        <w:jc w:val="both"/>
      </w:pPr>
      <w:r>
        <w:t xml:space="preserve">Адрес электронной почты администрации Соль-Илецкого городского округа: </w:t>
      </w:r>
      <w:hyperlink r:id="rId8" w:history="1">
        <w:r>
          <w:rPr>
            <w:rStyle w:val="aa"/>
          </w:rPr>
          <w:t>si@mail.orb.ru</w:t>
        </w:r>
      </w:hyperlink>
      <w:r>
        <w:t>.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61" w:lineRule="auto"/>
        <w:ind w:left="560" w:right="240"/>
        <w:jc w:val="both"/>
      </w:pPr>
      <w:r>
        <w:t xml:space="preserve">Адрес официального сайта администрации Соль-Илецкого городского округа : http://soliletsk.ru.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61" w:lineRule="auto"/>
        <w:ind w:left="560" w:right="240"/>
        <w:jc w:val="both"/>
      </w:pPr>
      <w:r>
        <w:t xml:space="preserve">График работы администрации Соль-Илецкого городского округа: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 xml:space="preserve">понедельник - четверг: с 09:00 до 18:00ч.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>пятница – с 09:00 до 17:00ч.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 xml:space="preserve">обеденный перерыв: с 13:00 до 13:48 ч.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37" w:lineRule="auto"/>
        <w:ind w:left="560"/>
        <w:jc w:val="both"/>
      </w:pPr>
      <w:r>
        <w:t xml:space="preserve">суббота - воскресенье: выходные дни </w:t>
      </w:r>
    </w:p>
    <w:p w:rsidR="00965038" w:rsidRDefault="00965038" w:rsidP="00965038">
      <w:pPr>
        <w:ind w:firstLine="720"/>
        <w:jc w:val="both"/>
      </w:pPr>
      <w:r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965038" w:rsidRDefault="00965038" w:rsidP="00965038">
      <w:pPr>
        <w:ind w:right="-1" w:firstLine="540"/>
        <w:contextualSpacing/>
        <w:jc w:val="both"/>
      </w:pPr>
      <w:r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965038" w:rsidRDefault="00965038" w:rsidP="00965038">
      <w:pPr>
        <w:ind w:firstLine="709"/>
        <w:jc w:val="both"/>
      </w:pPr>
      <w:r>
        <w:lastRenderedPageBreak/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965038" w:rsidRDefault="00965038" w:rsidP="00965038">
      <w:pPr>
        <w:widowControl w:val="0"/>
        <w:ind w:firstLine="708"/>
        <w:jc w:val="both"/>
      </w:pPr>
      <w: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Соль-Илецкого городского округа 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МФЦ, </w:t>
      </w: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Соль-Илецкого городского округа, информационных стендах  администрации Соль-Илецкого городского округа.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администрации Соль-Илецкого городского округа.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администрации Соль-Илецкого городского округа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97005D" w:rsidRDefault="00352881" w:rsidP="005A4539">
      <w:pPr>
        <w:autoSpaceDE w:val="0"/>
        <w:autoSpaceDN w:val="0"/>
        <w:adjustRightInd w:val="0"/>
        <w:ind w:firstLine="567"/>
        <w:jc w:val="both"/>
      </w:pPr>
      <w:r>
        <w:t>1</w:t>
      </w:r>
      <w:r w:rsidR="005A4539" w:rsidRPr="007C6D27">
        <w:t xml:space="preserve">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2881" w:rsidRDefault="0035288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2881" w:rsidRDefault="0035288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038" w:rsidRDefault="00965038" w:rsidP="00965038">
      <w:pPr>
        <w:ind w:firstLine="567"/>
        <w:jc w:val="both"/>
      </w:pPr>
      <w: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Соль-Илецкого городского округа (далее – орган местного самоуправления).</w:t>
      </w:r>
    </w:p>
    <w:p w:rsidR="00965038" w:rsidRDefault="00965038" w:rsidP="00965038">
      <w:pPr>
        <w:ind w:firstLine="567"/>
        <w:jc w:val="both"/>
      </w:pPr>
      <w: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65038" w:rsidRDefault="00965038" w:rsidP="0096503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65038" w:rsidRDefault="00965038" w:rsidP="0096503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65038" w:rsidRDefault="00965038" w:rsidP="00965038">
      <w:pPr>
        <w:ind w:firstLine="709"/>
        <w:jc w:val="both"/>
      </w:pPr>
      <w:r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965038" w:rsidRDefault="00965038" w:rsidP="00965038">
      <w:pPr>
        <w:ind w:firstLine="709"/>
        <w:jc w:val="both"/>
      </w:pPr>
      <w:r>
        <w:t>14. Приём документов от заявителя, рассмотрение документов и выдача результата предоставления муниципальной услуги специалистами МКУ УГХ,  МАУ «МФЦ».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352881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="00321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</w:t>
      </w:r>
      <w:r w:rsidR="0096503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 Соль-Илецкого городского округа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9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r w:rsidR="008B3551" w:rsidRPr="002C1002">
          <w:rPr>
            <w:lang w:val="en-US"/>
          </w:rPr>
          <w:t>pravo</w:t>
        </w:r>
        <w:r w:rsidR="008B3551" w:rsidRPr="002C1002">
          <w:t>.</w:t>
        </w:r>
        <w:r w:rsidR="008B3551" w:rsidRPr="002C1002">
          <w:rPr>
            <w:lang w:val="en-US"/>
          </w:rPr>
          <w:t>gov</w:t>
        </w:r>
        <w:r w:rsidR="008B3551" w:rsidRPr="002C1002">
          <w:t>.</w:t>
        </w:r>
        <w:r w:rsidR="008B3551" w:rsidRPr="002C1002">
          <w:rPr>
            <w:lang w:val="en-US"/>
          </w:rPr>
          <w:t>ru</w:t>
        </w:r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E92E15" w:rsidRDefault="005A4539" w:rsidP="00965038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lastRenderedPageBreak/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881" w:rsidRPr="007C6D27" w:rsidRDefault="0035288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</w:t>
      </w:r>
      <w:r w:rsidR="00965038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r w:rsidRPr="002C1002">
        <w:rPr>
          <w:lang w:val="en-US"/>
        </w:rPr>
        <w:t>docx</w:t>
      </w:r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r w:rsidRPr="002C1002">
        <w:rPr>
          <w:lang w:val="en-US"/>
        </w:rPr>
        <w:t>odt</w:t>
      </w:r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r w:rsidRPr="002C1002">
        <w:rPr>
          <w:lang w:val="en-US"/>
        </w:rPr>
        <w:t>png</w:t>
      </w:r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lastRenderedPageBreak/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2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881" w:rsidRDefault="00352881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2C" w:rsidRPr="00D4172C" w:rsidRDefault="00D4172C" w:rsidP="00D417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172C">
        <w:rPr>
          <w:rFonts w:ascii="Times New Roman" w:hAnsi="Times New Roman" w:cs="Times New Roman"/>
          <w:sz w:val="24"/>
          <w:szCs w:val="24"/>
        </w:rPr>
        <w:t>31.</w:t>
      </w:r>
      <w:r w:rsidRPr="00D41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2C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 и порядок их получения</w:t>
      </w:r>
    </w:p>
    <w:p w:rsidR="00D4172C" w:rsidRPr="00D4172C" w:rsidRDefault="00D4172C" w:rsidP="00D417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2523"/>
        <w:gridCol w:w="2127"/>
        <w:gridCol w:w="2269"/>
        <w:gridCol w:w="2127"/>
      </w:tblGrid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предоставляющий (предоставляющая)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Сведения о выдаваемом (выдаваемых) документе (документах)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Выдача подготовленного и оформленного в установленном порядке проекта переустройства и (или) перепланировки помещения (2 экземпляра)*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1. Заявление.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 и (или) перепланировки помещения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Выдача плана переводимого помещения с его техническим описанием (в случае если переводимое помещение является жилым - технического паспорта такого помещения), если государственный учет жилищного фонда в отношении помещения не осуществлен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"Федеральная кадастровая палата 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"Российский государственный центр инвентаризации учета объектов недвижимости - Федеральное бюро технической инвентаризации" Оренбургский филиал"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Заявление.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4. Правоустанавливающие документы на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План переводимого нежилого помещения либо технический паспорт переводимого жилого помещения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Выдача поэтажного плана дома, в котором находится переводимое помещение, если государственный учет жилищного фонда в отношении дома не осуществлен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предприятие "Российский государственный центр инвентаризации учета объектов недвижимости - Федеральное бюро технической инвентаризации" Оренбургский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4. Правоустанавливающие документы на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Выдача правоустанавливающих документов на переводимое помещение, если право на него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1. Заявление.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4.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переводимое помещение</w:t>
            </w:r>
          </w:p>
        </w:tc>
      </w:tr>
    </w:tbl>
    <w:p w:rsidR="00D4172C" w:rsidRPr="00D4172C" w:rsidRDefault="00D4172C" w:rsidP="00D41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72C" w:rsidRPr="00D4172C" w:rsidRDefault="00D4172C" w:rsidP="00D41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7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4172C" w:rsidRPr="00D4172C" w:rsidRDefault="00D4172C" w:rsidP="00D41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6"/>
      <w:bookmarkEnd w:id="10"/>
      <w:r w:rsidRPr="00D4172C">
        <w:rPr>
          <w:rFonts w:ascii="Times New Roman" w:hAnsi="Times New Roman" w:cs="Times New Roman"/>
          <w:sz w:val="24"/>
          <w:szCs w:val="24"/>
        </w:rPr>
        <w:t>* 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619F7" w:rsidRDefault="005619F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19F7" w:rsidRDefault="005619F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D4172C" w:rsidRDefault="00D4172C" w:rsidP="00D4172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D4172C" w:rsidRDefault="00D4172C" w:rsidP="00D417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запись на прием в </w:t>
      </w:r>
      <w:r>
        <w:t>МКУ УГХ, МАУ «МФЦ»</w:t>
      </w:r>
      <w:r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D4172C" w:rsidRDefault="00D4172C" w:rsidP="00D417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формирование запроса;</w:t>
      </w:r>
    </w:p>
    <w:p w:rsidR="00D4172C" w:rsidRDefault="00D4172C" w:rsidP="00D417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прием и регистрация </w:t>
      </w:r>
      <w:r>
        <w:t xml:space="preserve">МКУ УГХ, МАУ «МФЦ» </w:t>
      </w:r>
      <w:r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72C" w:rsidRDefault="00D4172C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 </w:t>
      </w:r>
      <w:r w:rsidR="00D4172C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 МКУ УГХ</w:t>
      </w:r>
      <w:r w:rsidR="00D4172C">
        <w:rPr>
          <w:rFonts w:eastAsiaTheme="minorHAnsi"/>
          <w:lang w:eastAsia="en-US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D4172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</w:t>
      </w:r>
      <w:r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>
        <w:rPr>
          <w:rFonts w:eastAsiaTheme="minorHAnsi"/>
          <w:lang w:eastAsia="en-US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D8" w:rsidRDefault="008C11D8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>
        <w:rPr>
          <w:rFonts w:eastAsiaTheme="minorHAnsi"/>
          <w:lang w:eastAsia="en-US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619F7" w:rsidRDefault="005619F7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 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пециалисты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пециалисты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8C11D8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пециалисты</w:t>
      </w:r>
      <w:r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0D33DA">
        <w:rPr>
          <w:rFonts w:ascii="Times New Roman" w:hAnsi="Times New Roman" w:cs="Times New Roman"/>
          <w:sz w:val="24"/>
          <w:szCs w:val="24"/>
        </w:rPr>
        <w:t>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8C11D8">
        <w:rPr>
          <w:rFonts w:ascii="Times New Roman" w:hAnsi="Times New Roman" w:cs="Times New Roman"/>
          <w:sz w:val="24"/>
          <w:szCs w:val="24"/>
        </w:rPr>
        <w:t xml:space="preserve">начальником отдела архитектуры, градостроительства и земельных отношений </w:t>
      </w:r>
      <w:r w:rsidR="006B01D9" w:rsidRPr="003C5303">
        <w:rPr>
          <w:rFonts w:ascii="Times New Roman" w:hAnsi="Times New Roman" w:cs="Times New Roman"/>
          <w:sz w:val="24"/>
          <w:szCs w:val="24"/>
        </w:rPr>
        <w:t>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8C11D8">
        <w:rPr>
          <w:rFonts w:ascii="Times New Roman" w:hAnsi="Times New Roman" w:cs="Times New Roman"/>
          <w:sz w:val="24"/>
          <w:szCs w:val="24"/>
        </w:rPr>
        <w:t xml:space="preserve">начальником отдела архитектуры, градостроительства и земельных отношений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уведомление об отказе в переводе жилого (нежилого) помещения в нежилое (жилое) </w:t>
      </w:r>
      <w:r w:rsidRPr="00EF2ACB">
        <w:rPr>
          <w:rFonts w:ascii="Times New Roman" w:hAnsi="Times New Roman" w:cs="Times New Roman"/>
          <w:sz w:val="24"/>
          <w:szCs w:val="24"/>
        </w:rPr>
        <w:lastRenderedPageBreak/>
        <w:t>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385"/>
      <w:bookmarkEnd w:id="11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1D8" w:rsidRDefault="008C11D8" w:rsidP="008C1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Текущий контроль за соблюдением последовательности действий, определенных административными процедурами, и принятием решений осуществляется: начальником отдела архитектуры, градостроительства и земельных отношений администрации Соль-Илецкого городского округа (далее ОАГиЗО).</w:t>
      </w:r>
    </w:p>
    <w:p w:rsidR="008C11D8" w:rsidRDefault="008C11D8" w:rsidP="008C1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71. Текущий контроль осуществляется путем проведения начальником ОАГиЗО проверок соблюдения и исполнения положений Административного регламента, иных нормативных правовых актов Российской Федерации специалистами МКУ УГХ.</w:t>
      </w:r>
    </w:p>
    <w:p w:rsidR="008C11D8" w:rsidRDefault="008C11D8" w:rsidP="008C11D8">
      <w:pPr>
        <w:widowControl w:val="0"/>
        <w:jc w:val="both"/>
      </w:pPr>
    </w:p>
    <w:p w:rsidR="008C11D8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 w:rsidRPr="008C11D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Соль-Илецкого городского округа  </w:t>
      </w:r>
      <w:r w:rsidR="005A4539" w:rsidRPr="008C11D8">
        <w:rPr>
          <w:rFonts w:ascii="Times New Roman" w:hAnsi="Times New Roman" w:cs="Times New Roman"/>
          <w:sz w:val="24"/>
          <w:szCs w:val="24"/>
        </w:rPr>
        <w:t xml:space="preserve">организует и осуществляет контроль </w:t>
      </w:r>
      <w:r w:rsidR="005A4539" w:rsidRPr="007C6D27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8C11D8">
        <w:rPr>
          <w:rFonts w:ascii="Times New Roman" w:hAnsi="Times New Roman" w:cs="Times New Roman"/>
          <w:sz w:val="24"/>
          <w:szCs w:val="24"/>
        </w:rPr>
        <w:t>руководителями</w:t>
      </w:r>
      <w:r w:rsidR="008C11D8" w:rsidRPr="008C11D8">
        <w:rPr>
          <w:rFonts w:ascii="Times New Roman" w:hAnsi="Times New Roman" w:cs="Times New Roman"/>
          <w:sz w:val="24"/>
          <w:szCs w:val="24"/>
        </w:rPr>
        <w:t xml:space="preserve"> администрации С</w:t>
      </w:r>
      <w:r w:rsidR="008C11D8">
        <w:rPr>
          <w:rFonts w:ascii="Times New Roman" w:hAnsi="Times New Roman" w:cs="Times New Roman"/>
          <w:sz w:val="24"/>
          <w:szCs w:val="24"/>
        </w:rPr>
        <w:t>оль-Илецкого городского округа</w:t>
      </w:r>
      <w:r w:rsidR="005A4539" w:rsidRPr="008C11D8">
        <w:rPr>
          <w:rFonts w:ascii="Times New Roman" w:hAnsi="Times New Roman" w:cs="Times New Roman"/>
          <w:sz w:val="24"/>
          <w:szCs w:val="24"/>
        </w:rPr>
        <w:t>.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2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3" w:name="sub_4661"/>
      <w:bookmarkEnd w:id="12"/>
      <w:r w:rsidRPr="003539F9">
        <w:t xml:space="preserve">1) </w:t>
      </w:r>
      <w:bookmarkStart w:id="14" w:name="sub_4667"/>
      <w:bookmarkEnd w:id="13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4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8C11D8" w:rsidRDefault="003539F9" w:rsidP="008C11D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77</w:t>
      </w:r>
      <w:r w:rsidR="008C11D8" w:rsidRPr="008C11D8">
        <w:rPr>
          <w:lang w:eastAsia="en-US"/>
        </w:rPr>
        <w:t xml:space="preserve"> </w:t>
      </w:r>
      <w:r w:rsidR="008C11D8">
        <w:rPr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C11D8">
        <w:t>администрации Соль-Илецкого городского округа</w:t>
      </w:r>
      <w:r w:rsidR="008C11D8">
        <w:rPr>
          <w:lang w:eastAsia="en-US"/>
        </w:rPr>
        <w:t xml:space="preserve"> и его должностных лиц, муниципальных служащих </w:t>
      </w:r>
      <w:r w:rsidR="008C11D8">
        <w:t>администрации Соль-Илецкого городского округа,</w:t>
      </w:r>
      <w:r w:rsidR="008C11D8">
        <w:rPr>
          <w:lang w:eastAsia="en-US"/>
        </w:rPr>
        <w:t xml:space="preserve"> МФЦ, работника МФЦ, специалистов МКУ УГХ,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8C11D8" w:rsidP="008C11D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 </w:t>
      </w:r>
      <w:r w:rsidR="003539F9" w:rsidRPr="003539F9">
        <w:rPr>
          <w:lang w:eastAsia="en-US"/>
        </w:rPr>
        <w:t>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1"/>
      <w:r w:rsidRPr="003539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2"/>
      <w:bookmarkEnd w:id="15"/>
      <w:r w:rsidRPr="003539F9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</w:t>
      </w:r>
      <w:r w:rsidRPr="003539F9">
        <w:lastRenderedPageBreak/>
        <w:t>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3"/>
      <w:bookmarkEnd w:id="16"/>
      <w:r w:rsidRPr="003539F9">
        <w:t>3) сведения об обжалуемых решениях и действиях (бездействии)</w:t>
      </w:r>
      <w:bookmarkStart w:id="18" w:name="sub_4684"/>
      <w:bookmarkEnd w:id="17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A768A1" w:rsidRDefault="003539F9" w:rsidP="00A76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F9">
        <w:rPr>
          <w:lang w:eastAsia="en-US"/>
        </w:rPr>
        <w:t>79. </w:t>
      </w:r>
      <w:r w:rsidR="00A768A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A768A1">
        <w:rPr>
          <w:rFonts w:ascii="Times New Roman" w:hAnsi="Times New Roman" w:cs="Times New Roman"/>
          <w:sz w:val="24"/>
          <w:szCs w:val="24"/>
        </w:rPr>
        <w:t>администрацией Соль-Илецкого городского округа</w:t>
      </w:r>
    </w:p>
    <w:p w:rsidR="00A768A1" w:rsidRDefault="00A768A1" w:rsidP="00A768A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предоставляющей муниципальную услугу, порядок предоставления которой был нарушен. Жалобы на решения, принятые МКУ УГХ, предоставляющих муниципальную услугу, подаются в </w:t>
      </w:r>
      <w:r>
        <w:t>администрацию Соль-Илецкого городского округа</w:t>
      </w:r>
      <w:r>
        <w:rPr>
          <w:lang w:eastAsia="en-US"/>
        </w:rPr>
        <w:t xml:space="preserve">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>
          <w:rPr>
            <w:rStyle w:val="aa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3539F9" w:rsidRPr="003539F9" w:rsidRDefault="003539F9" w:rsidP="00A768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A768A1" w:rsidRDefault="00A768A1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9" w:name="Par11"/>
      <w:bookmarkEnd w:id="19"/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A768A1">
        <w:rPr>
          <w:bCs/>
          <w:lang w:eastAsia="en-US"/>
        </w:rPr>
        <w:t>администрации Соль-Илецкого городского округа</w:t>
      </w:r>
      <w:r w:rsidRPr="003539F9">
        <w:rPr>
          <w:bCs/>
          <w:lang w:eastAsia="en-US"/>
        </w:rPr>
        <w:t xml:space="preserve">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1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lastRenderedPageBreak/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3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768A1" w:rsidRDefault="00A768A1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A768A1" w:rsidRDefault="003539F9" w:rsidP="00A768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</w:t>
      </w:r>
      <w:r w:rsidR="00A768A1">
        <w:rPr>
          <w:bCs/>
          <w:lang w:eastAsia="en-US"/>
        </w:rPr>
        <w:t xml:space="preserve">Жалоба, поступившая в администрацию Соль-Илецкого городского округа, МФЦ, учредителю МФЦ, в организации, </w:t>
      </w:r>
      <w:r w:rsidR="00A768A1">
        <w:t xml:space="preserve">предусмотренные </w:t>
      </w:r>
      <w:hyperlink r:id="rId24" w:history="1">
        <w:r w:rsidR="00A768A1">
          <w:rPr>
            <w:rStyle w:val="aa"/>
          </w:rPr>
          <w:t>частью 1.1 статьи 16</w:t>
        </w:r>
      </w:hyperlink>
      <w:r w:rsidR="00A768A1">
        <w:t xml:space="preserve"> № 210-ФЗ, </w:t>
      </w:r>
      <w:r w:rsidR="00A768A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A768A1">
        <w:rPr>
          <w:lang w:eastAsia="en-US"/>
        </w:rPr>
        <w:t>муниципальную</w:t>
      </w:r>
      <w:r w:rsidR="00A768A1">
        <w:rPr>
          <w:bCs/>
          <w:lang w:eastAsia="en-US"/>
        </w:rPr>
        <w:t xml:space="preserve"> услугу, должностного лица органа, предоставляющего </w:t>
      </w:r>
      <w:r w:rsidR="00A768A1">
        <w:rPr>
          <w:lang w:eastAsia="en-US"/>
        </w:rPr>
        <w:t>муниципальную</w:t>
      </w:r>
      <w:r w:rsidR="00A768A1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5619F7" w:rsidRDefault="00A768A1" w:rsidP="00A768A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3539F9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                                                </w:t>
      </w:r>
    </w:p>
    <w:p w:rsidR="003539F9" w:rsidRPr="003539F9" w:rsidRDefault="005619F7" w:rsidP="00A768A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</w:t>
      </w:r>
      <w:r w:rsidR="00A768A1">
        <w:rPr>
          <w:b/>
          <w:lang w:eastAsia="en-US"/>
        </w:rPr>
        <w:t xml:space="preserve">  </w:t>
      </w:r>
      <w:r w:rsidR="003539F9"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lastRenderedPageBreak/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</w:t>
      </w:r>
      <w:r w:rsidR="00A768A1">
        <w:rPr>
          <w:bCs/>
          <w:lang w:eastAsia="en-US"/>
        </w:rPr>
        <w:t>азмещаются на официальном сайте</w:t>
      </w:r>
    </w:p>
    <w:p w:rsidR="00A768A1" w:rsidRDefault="00A768A1" w:rsidP="00A768A1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>
        <w:t>:</w:t>
      </w:r>
      <w:r>
        <w:rPr>
          <w:lang w:val="en-US"/>
        </w:rPr>
        <w:t>htt</w:t>
      </w:r>
      <w:r>
        <w:t>p://soliletsk.ru.</w:t>
      </w:r>
    </w:p>
    <w:p w:rsidR="00A768A1" w:rsidRDefault="00A768A1" w:rsidP="00A768A1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5619F7" w:rsidRDefault="005619F7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352881" w:rsidRDefault="00352881" w:rsidP="004979B6">
      <w:pPr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5A4539" w:rsidRPr="000A514F" w:rsidRDefault="004979B6" w:rsidP="004979B6">
      <w:r>
        <w:rPr>
          <w:rFonts w:eastAsiaTheme="minorHAnsi"/>
          <w:b/>
          <w:bCs/>
          <w:lang w:eastAsia="en-US"/>
        </w:rPr>
        <w:lastRenderedPageBreak/>
        <w:t xml:space="preserve">                                                                       </w:t>
      </w:r>
      <w:r>
        <w:t xml:space="preserve">    </w:t>
      </w:r>
      <w:r w:rsidR="005A4539" w:rsidRPr="000A514F">
        <w:t xml:space="preserve">Приложение №1 к </w:t>
      </w:r>
      <w:r>
        <w:t>а</w:t>
      </w:r>
      <w:r w:rsidR="005A4539" w:rsidRPr="000A514F">
        <w:t>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A768A1" w:rsidP="004979B6">
            <w:pPr>
              <w:pStyle w:val="ConsPlusNonformat"/>
              <w:ind w:left="439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Соль-Илецкого городского округа</w:t>
            </w:r>
            <w:r w:rsidR="005A4539" w:rsidRPr="007C6D27">
              <w:rPr>
                <w:rFonts w:ascii="Times New Roman" w:hAnsi="Times New Roman" w:cs="Times New Roman"/>
                <w:sz w:val="24"/>
                <w:szCs w:val="24"/>
              </w:rPr>
              <w:t>: _____________</w:t>
            </w:r>
            <w:r w:rsidR="005619F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  <w:r w:rsidRPr="00D67B67">
        <w:t>_______________________________________________________________________</w:t>
      </w:r>
      <w:r w:rsidR="00D67B67">
        <w:t>________</w:t>
      </w:r>
      <w:r w:rsidRPr="00D67B67">
        <w:t>_____________________________________________________________________</w:t>
      </w:r>
      <w:r w:rsidR="004979B6">
        <w:t>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4979B6">
        <w:t>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4979B6">
        <w:t>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1936"/>
      </w:tblGrid>
      <w:tr w:rsidR="001C25DE" w:rsidRPr="000865D1" w:rsidTr="004979B6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193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4979B6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193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4979B6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93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4979B6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93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4979B6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93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63C">
        <w:t>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lastRenderedPageBreak/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C7D7D" w:rsidRDefault="007C7D7D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979B6" w:rsidRDefault="004979B6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979B6" w:rsidRDefault="004979B6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979B6" w:rsidRDefault="004979B6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2FCF" w:rsidRDefault="009E2FCF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2FCF" w:rsidRDefault="009E2FCF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2FCF" w:rsidRDefault="009E2FCF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2FCF" w:rsidRDefault="009E2FCF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2FCF" w:rsidRDefault="009E2FCF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2FCF" w:rsidRDefault="009E2FCF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881" w:rsidRDefault="0035288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2FCF" w:rsidRDefault="009E2FCF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B7471" w:rsidRPr="005D31C9" w:rsidRDefault="004979B6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</w:t>
      </w:r>
      <w:r w:rsidR="005619F7">
        <w:rPr>
          <w:lang w:eastAsia="en-US"/>
        </w:rPr>
        <w:t>риложение №2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0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1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52881">
      <w:headerReference w:type="first" r:id="rId32"/>
      <w:pgSz w:w="11906" w:h="16838"/>
      <w:pgMar w:top="709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BA" w:rsidRDefault="005536BA">
      <w:r>
        <w:separator/>
      </w:r>
    </w:p>
  </w:endnote>
  <w:endnote w:type="continuationSeparator" w:id="1">
    <w:p w:rsidR="005536BA" w:rsidRDefault="0055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BA" w:rsidRDefault="005536BA">
      <w:r>
        <w:separator/>
      </w:r>
    </w:p>
  </w:footnote>
  <w:footnote w:type="continuationSeparator" w:id="1">
    <w:p w:rsidR="005536BA" w:rsidRDefault="0055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81" w:rsidRPr="00547706" w:rsidRDefault="00352881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466AA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4F5F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00027"/>
    <w:rsid w:val="00211F90"/>
    <w:rsid w:val="00212CE2"/>
    <w:rsid w:val="0021573E"/>
    <w:rsid w:val="0021686C"/>
    <w:rsid w:val="002202DE"/>
    <w:rsid w:val="00224BA8"/>
    <w:rsid w:val="00225B7C"/>
    <w:rsid w:val="00225F15"/>
    <w:rsid w:val="00227619"/>
    <w:rsid w:val="00227905"/>
    <w:rsid w:val="0023097F"/>
    <w:rsid w:val="002337F1"/>
    <w:rsid w:val="00236AEC"/>
    <w:rsid w:val="002424AF"/>
    <w:rsid w:val="00256AD0"/>
    <w:rsid w:val="00257E07"/>
    <w:rsid w:val="002630FB"/>
    <w:rsid w:val="002741DE"/>
    <w:rsid w:val="0027799E"/>
    <w:rsid w:val="002A712A"/>
    <w:rsid w:val="002B0518"/>
    <w:rsid w:val="002B7324"/>
    <w:rsid w:val="002C1002"/>
    <w:rsid w:val="002C5D0D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1DA6"/>
    <w:rsid w:val="00324444"/>
    <w:rsid w:val="00324FFF"/>
    <w:rsid w:val="00337376"/>
    <w:rsid w:val="00343ED7"/>
    <w:rsid w:val="00350C9C"/>
    <w:rsid w:val="00352689"/>
    <w:rsid w:val="00352881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2CA6"/>
    <w:rsid w:val="003D7B38"/>
    <w:rsid w:val="003E1783"/>
    <w:rsid w:val="003E1C51"/>
    <w:rsid w:val="003E238C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23BD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979B6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36BA"/>
    <w:rsid w:val="00557C8A"/>
    <w:rsid w:val="00557FC2"/>
    <w:rsid w:val="005619F7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B4F4A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1F1C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16BF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67FF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3C81"/>
    <w:rsid w:val="007D5D4A"/>
    <w:rsid w:val="007E17FC"/>
    <w:rsid w:val="007E1891"/>
    <w:rsid w:val="007E1B8C"/>
    <w:rsid w:val="007E3D26"/>
    <w:rsid w:val="007E52AF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17B"/>
    <w:rsid w:val="00891A09"/>
    <w:rsid w:val="00892814"/>
    <w:rsid w:val="008A0945"/>
    <w:rsid w:val="008A5587"/>
    <w:rsid w:val="008B0EA6"/>
    <w:rsid w:val="008B1861"/>
    <w:rsid w:val="008B3551"/>
    <w:rsid w:val="008B5428"/>
    <w:rsid w:val="008C11D8"/>
    <w:rsid w:val="008C49D7"/>
    <w:rsid w:val="008C6A6A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204"/>
    <w:rsid w:val="0093735F"/>
    <w:rsid w:val="00952F15"/>
    <w:rsid w:val="00965038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32"/>
    <w:rsid w:val="009E07FC"/>
    <w:rsid w:val="009E2FCF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5536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768A1"/>
    <w:rsid w:val="00A81A91"/>
    <w:rsid w:val="00A854D6"/>
    <w:rsid w:val="00A85C08"/>
    <w:rsid w:val="00A864FF"/>
    <w:rsid w:val="00A86D88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349DD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0BD0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2F2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62BAB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025A1"/>
    <w:rsid w:val="00D10C14"/>
    <w:rsid w:val="00D1660D"/>
    <w:rsid w:val="00D24314"/>
    <w:rsid w:val="00D31A9E"/>
    <w:rsid w:val="00D34F8B"/>
    <w:rsid w:val="00D36175"/>
    <w:rsid w:val="00D4172C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A4A71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065F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4402D"/>
    <w:rsid w:val="00F511B0"/>
    <w:rsid w:val="00F54CF1"/>
    <w:rsid w:val="00F55140"/>
    <w:rsid w:val="00F5692F"/>
    <w:rsid w:val="00F6186E"/>
    <w:rsid w:val="00F632B7"/>
    <w:rsid w:val="00F64051"/>
    <w:rsid w:val="00F648A3"/>
    <w:rsid w:val="00F831A9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12B4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No Spacing"/>
    <w:uiPriority w:val="1"/>
    <w:qFormat/>
    <w:rsid w:val="007B67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base.garant.ru/12138291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3686-765D-414E-B55D-88444273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11904</Words>
  <Characters>67856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79601</CharactersWithSpaces>
  <SharedDoc>false</SharedDoc>
  <HLinks>
    <vt:vector size="156" baseType="variant">
      <vt:variant>
        <vt:i4>5832807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http://base.garant.ru/12138291/3/</vt:lpwstr>
      </vt:variant>
      <vt:variant>
        <vt:lpwstr>block_2401</vt:lpwstr>
      </vt:variant>
      <vt:variant>
        <vt:i4>6094951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http://base.garant.ru/12138291/3/</vt:lpwstr>
      </vt:variant>
      <vt:variant>
        <vt:lpwstr>block_2302</vt:lpwstr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7733303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consultantplus://offline/ref=01515CFEDAF7846842CA27DD3B139D369E5DAD550D9AD3C6F9038B6F24F38D604BC9C43D26FB8E38uDrBJ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consultantplus://offline/ref=01515CFEDAF7846842CA27DD3B139D369E5DAD550D9AD3C6F9038B6F24F38D604BC9C43D26FB8E39uDr8J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consultantplus://offline/ref=01515CFEDAF7846842CA27DD3B139D369E5DAD550D9AD3C6F9038B6F24F38D604BC9C43D26FB8E39uDr8J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2293845</vt:i4>
      </vt:variant>
      <vt:variant>
        <vt:i4>0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2018-09-13T12:07:00Z</cp:lastPrinted>
  <dcterms:created xsi:type="dcterms:W3CDTF">2018-09-14T10:55:00Z</dcterms:created>
  <dcterms:modified xsi:type="dcterms:W3CDTF">2018-09-14T10:55:00Z</dcterms:modified>
</cp:coreProperties>
</file>