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85" w:rsidRPr="00087D85" w:rsidRDefault="003B7F38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19.05.</w:t>
            </w:r>
            <w:r w:rsidR="00087D85" w:rsidRPr="00087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1513-п</w:t>
            </w:r>
            <w:bookmarkStart w:id="0" w:name="_GoBack"/>
            <w:bookmarkEnd w:id="0"/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CD1E7B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</w:p>
    <w:p w:rsidR="00064D1F" w:rsidRDefault="000A6B2D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бюджета</w:t>
      </w:r>
    </w:p>
    <w:p w:rsidR="00064D1F" w:rsidRDefault="00FA7320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</w:p>
    <w:p w:rsidR="00064D1F" w:rsidRDefault="00854780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округ, 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убсидий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D1F" w:rsidRDefault="00CD1E7B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064D1F" w:rsidRDefault="009967DC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учреждениям),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</w:p>
    <w:p w:rsidR="00FA7320" w:rsidRDefault="00CD1E7B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D1F" w:rsidRDefault="00CD1E7B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работ,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целях</w:t>
      </w:r>
    </w:p>
    <w:p w:rsidR="00064D1F" w:rsidRDefault="00CD1E7B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</w:p>
    <w:p w:rsidR="00064D1F" w:rsidRDefault="00CD1E7B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обслуживанию и содержанию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 xml:space="preserve"> сетей</w:t>
      </w:r>
    </w:p>
    <w:p w:rsidR="008007C0" w:rsidRPr="00803225" w:rsidRDefault="00566E00" w:rsidP="008903F5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уличного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сельских    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    на  территории Соль-Илецкого </w:t>
      </w:r>
      <w:r w:rsidR="00E039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AF1D11" w:rsidRPr="00591DD8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591DD8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</w:t>
      </w:r>
      <w:proofErr w:type="gramEnd"/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76A05" w:rsidRPr="00591DD8" w:rsidRDefault="008903F5" w:rsidP="001B7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 xml:space="preserve">техническому обслуживанию и содержанию сетей уличного 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сельских населенных пунктов на территории  Соль-Илецкого городского округа </w:t>
      </w:r>
      <w:r w:rsidR="00566E00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  <w:proofErr w:type="gramEnd"/>
    </w:p>
    <w:p w:rsidR="00AF1D11" w:rsidRPr="00591DD8" w:rsidRDefault="008903F5" w:rsidP="001B7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проведению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 xml:space="preserve">техническому обслуживанию и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591D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007C0" w:rsidRPr="00591DD8" w:rsidRDefault="008903F5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BA7C83" w:rsidRPr="00BA7C83" w:rsidRDefault="008903F5" w:rsidP="00BA7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1D11" w:rsidRPr="00591D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>возлагаю на заместителя главы администрации городского округа по строительству, транспорту, благоустройству и ЖКХ  Мальгина М.М.</w:t>
      </w: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6" w:rsidRDefault="001B7506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250" w:rsidRDefault="00BA0250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250" w:rsidRDefault="00BA0250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6" w:rsidRPr="00591DD8" w:rsidRDefault="001B7506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F42" w:rsidRDefault="007B5F42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3AA" w:rsidRPr="002413A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13AA" w:rsidRPr="0024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91DD8" w:rsidRPr="00591DD8" w:rsidRDefault="007B5F42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58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Трибушной</w:t>
      </w:r>
    </w:p>
    <w:p w:rsidR="00EB0ABA" w:rsidRDefault="00EB0ABA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59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7B5F42" w:rsidRPr="002413AA" w:rsidRDefault="007B5F42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F42" w:rsidRDefault="008903F5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2413A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</w:p>
    <w:p w:rsidR="002413AA" w:rsidRPr="002413AA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         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Телушкина </w:t>
      </w: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576E10">
        <w:rPr>
          <w:rFonts w:ascii="Times New Roman" w:eastAsia="Times New Roman" w:hAnsi="Times New Roman" w:cs="Times New Roman"/>
          <w:sz w:val="16"/>
          <w:szCs w:val="16"/>
        </w:rPr>
        <w:t>, МКУ «Централизованная бухгалтерия»</w:t>
      </w:r>
    </w:p>
    <w:p w:rsidR="00374B17" w:rsidRPr="00064D1F" w:rsidRDefault="00374B17" w:rsidP="00064D1F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A200C5" w:rsidRPr="00064D1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0C5" w:rsidRPr="00064D1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74B17" w:rsidRPr="00064D1F" w:rsidRDefault="0075135E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4B17"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374B17" w:rsidRPr="00064D1F"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374B17" w:rsidRPr="00064D1F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Pr="00064D1F">
        <w:rPr>
          <w:rFonts w:ascii="Times New Roman" w:eastAsia="Times New Roman" w:hAnsi="Times New Roman" w:cs="Times New Roman"/>
          <w:sz w:val="28"/>
          <w:szCs w:val="28"/>
        </w:rPr>
        <w:tab/>
        <w:t>Соль-Илецкого городского округа</w:t>
      </w:r>
    </w:p>
    <w:p w:rsidR="00374B17" w:rsidRPr="00064D1F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Pr="00064D1F">
        <w:rPr>
          <w:rFonts w:ascii="Times New Roman" w:eastAsia="Times New Roman" w:hAnsi="Times New Roman" w:cs="Times New Roman"/>
          <w:sz w:val="28"/>
          <w:szCs w:val="28"/>
        </w:rPr>
        <w:tab/>
        <w:t>от___________2016</w:t>
      </w:r>
      <w:r w:rsidR="0080322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№________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E2246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903F5" w:rsidRPr="00064D1F" w:rsidRDefault="008903F5" w:rsidP="008903F5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Default="00167D6E" w:rsidP="008903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Порядок, субсидия) определяет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5135E" w:rsidRDefault="00854780" w:rsidP="00D032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предпринимателям,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</w:t>
      </w:r>
      <w:r w:rsidR="00630F7E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комиссия по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предоставлению субсидии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8903F5" w:rsidRDefault="00E50428" w:rsidP="008903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>сетей уличного освещения сельских населенных пунктов на территории  Соль-Илецкого городского округа.</w:t>
      </w:r>
      <w:proofErr w:type="gramEnd"/>
    </w:p>
    <w:p w:rsidR="008903F5" w:rsidRDefault="008903F5" w:rsidP="008903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8007C0" w:rsidRPr="00064D1F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7C0" w:rsidRPr="00064D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656933" w:rsidRPr="00064D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7B30F2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2.2. Информация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дата, время, место 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, форма заявки;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место и время приема заявок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, адрес электронной поч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ты, номер контактного телефона;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юр. лиц, индивидуальных предпринимателей, физических лиц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субсидии;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5C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уведомления о результатах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B005CE" w:rsidP="00B005CE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2.3. Заявка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подается в срок, указанный в 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Порядку, и следующие документы: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выписки,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</w:t>
      </w:r>
      <w:r w:rsidR="00694609" w:rsidRPr="00064D1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</w:t>
      </w:r>
      <w:r w:rsidR="007A2193">
        <w:rPr>
          <w:rFonts w:ascii="Times New Roman" w:eastAsia="Times New Roman" w:hAnsi="Times New Roman" w:cs="Times New Roman"/>
          <w:sz w:val="28"/>
          <w:szCs w:val="28"/>
        </w:rPr>
        <w:t>жимое имущество и сделок с ним).</w:t>
      </w:r>
    </w:p>
    <w:p w:rsidR="00B005CE" w:rsidRPr="00064D1F" w:rsidRDefault="00071D64" w:rsidP="007A2193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>2.4.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0F" w:rsidRDefault="00167D6E" w:rsidP="0039510F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064D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064D1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>лжны быть запечатаны в конверт.</w:t>
      </w:r>
    </w:p>
    <w:p w:rsidR="00167D6E" w:rsidRPr="0039510F" w:rsidRDefault="00167D6E" w:rsidP="0039510F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0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3951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5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D14" w:rsidRPr="0039510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9510F">
        <w:rPr>
          <w:rFonts w:ascii="Times New Roman" w:eastAsia="Times New Roman" w:hAnsi="Times New Roman" w:cs="Times New Roman"/>
          <w:sz w:val="28"/>
          <w:szCs w:val="28"/>
        </w:rPr>
        <w:t xml:space="preserve"> вправе отозвать поданную заявку не позднее дня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окончания срока подачи заявок.</w:t>
      </w:r>
    </w:p>
    <w:p w:rsidR="00167D6E" w:rsidRPr="00064D1F" w:rsidRDefault="00AF1D11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  <w:r w:rsidRPr="00064D1F">
        <w:rPr>
          <w:rFonts w:ascii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hAnsi="Times New Roman" w:cs="Times New Roman"/>
          <w:sz w:val="28"/>
          <w:szCs w:val="28"/>
        </w:rPr>
        <w:t xml:space="preserve">. Порядок оценки участников </w:t>
      </w:r>
      <w:r w:rsidR="000A6B2D" w:rsidRPr="00064D1F">
        <w:rPr>
          <w:rFonts w:ascii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hAnsi="Times New Roman" w:cs="Times New Roman"/>
          <w:sz w:val="28"/>
          <w:szCs w:val="28"/>
        </w:rPr>
        <w:t xml:space="preserve"> и определения победителя </w:t>
      </w:r>
      <w:r w:rsidR="000A6B2D" w:rsidRPr="00064D1F">
        <w:rPr>
          <w:rFonts w:ascii="Times New Roman" w:hAnsi="Times New Roman" w:cs="Times New Roman"/>
          <w:sz w:val="28"/>
          <w:szCs w:val="28"/>
        </w:rPr>
        <w:t>конкурса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.1. Оценка участников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064D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.3. Участника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критериям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>ние о предоставлении субсидии.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двух или более участников, соответствующих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обедителем признается участник 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5B7D14" w:rsidRPr="00064D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064D1F" w:rsidRDefault="00D032D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 (недостаточность)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в бюджете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на эти цели;</w:t>
      </w:r>
    </w:p>
    <w:p w:rsidR="00167D6E" w:rsidRPr="00064D1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064D1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EA" w:rsidRPr="00064D1F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, секретарь комиссии в течени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уведомление об отказе в выдаче субсидии 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>по соответствующим основаниям.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.6. В случае если имеется только один участник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критериям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.7. В случае если единственный участник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35E" w:rsidRDefault="00167D6E" w:rsidP="0075135E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167D6E" w:rsidRPr="00145C27" w:rsidRDefault="00167D6E" w:rsidP="0075135E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</w:t>
      </w:r>
      <w:r w:rsidR="004D0B36" w:rsidRPr="00145C2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67D6E" w:rsidRPr="00FA7320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67D6E" w:rsidRPr="00145C27" w:rsidRDefault="00071D64" w:rsidP="008903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4D0B36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8B76ED" w:rsidRPr="00145C27">
        <w:rPr>
          <w:rFonts w:ascii="Times New Roman" w:eastAsia="Times New Roman" w:hAnsi="Times New Roman" w:cs="Times New Roman"/>
          <w:sz w:val="28"/>
          <w:szCs w:val="28"/>
        </w:rPr>
        <w:t>_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_»_________ 20_</w:t>
      </w:r>
      <w:r w:rsidR="008B76ED" w:rsidRPr="00145C27">
        <w:rPr>
          <w:rFonts w:ascii="Times New Roman" w:eastAsia="Times New Roman" w:hAnsi="Times New Roman" w:cs="Times New Roman"/>
          <w:sz w:val="28"/>
          <w:szCs w:val="28"/>
        </w:rPr>
        <w:t>_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_ г.</w:t>
      </w:r>
      <w:proofErr w:type="gramEnd"/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D032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Изучив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>сетей уличного освещения сельских населенных пунктов на территории  Соль-Илецкого городского округа</w:t>
      </w:r>
      <w:proofErr w:type="gramStart"/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>заявителя (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юр. лица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, ИП,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физ. лица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подает заявку на участие в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на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на условиях, изложенных в Порядке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</w:t>
      </w:r>
      <w:proofErr w:type="gramEnd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работ, услуг в целях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возмещения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м (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45C2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</w:t>
      </w:r>
      <w:proofErr w:type="gramEnd"/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Соль-Илецкий городской округ №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31-п от 22.01.2016 г.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05" w:rsidRPr="00145C27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юр. лица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, ИП,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физ. лица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>обязуется подписать договор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на условиях и в сроки, указанные в </w:t>
      </w:r>
      <w:r w:rsidR="00071D64" w:rsidRPr="00145C27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45C2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1D64" w:rsidRPr="00145C27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67D6E" w:rsidRPr="00145C27" w:rsidRDefault="00145C27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D06A05" w:rsidRPr="00145C27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(юр.</w:t>
      </w:r>
      <w:r w:rsidR="00E81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лица, ИП, физ.</w:t>
      </w:r>
      <w:r w:rsidR="00E81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лица))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 подтверждает, что: </w:t>
      </w:r>
    </w:p>
    <w:p w:rsidR="00167D6E" w:rsidRPr="00145C27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деятельность не приостановлена в порядке, предусмотренном Кодексом Российской Федерации об административных правонарушениях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67D6E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о заявителе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для юр. лиц</w:t>
      </w:r>
      <w:proofErr w:type="gramStart"/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для юр. лиц</w:t>
      </w:r>
      <w:proofErr w:type="gramStart"/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Почтовый адрес организации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ИП и юр. </w:t>
      </w:r>
      <w:r w:rsidR="00D032DE" w:rsidRPr="00145C2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ионный номер налогоплательщика, КПП,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Расчетные счета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2D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ФИО  руководителя, должность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лица)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Наименование налоговой инспекции, в которой 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состоит на учете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 </w:t>
      </w:r>
    </w:p>
    <w:p w:rsidR="008903F5" w:rsidRDefault="00C14508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 ______________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>______________/________</w:t>
      </w:r>
    </w:p>
    <w:p w:rsidR="00167D6E" w:rsidRPr="008903F5" w:rsidRDefault="008903F5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3F5">
        <w:rPr>
          <w:rFonts w:ascii="Times New Roman" w:eastAsia="Times New Roman" w:hAnsi="Times New Roman" w:cs="Times New Roman"/>
          <w:sz w:val="24"/>
          <w:szCs w:val="24"/>
        </w:rPr>
        <w:t xml:space="preserve">               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(Ф.И.О.)                  </w:t>
      </w:r>
      <w:r w:rsidRPr="008903F5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                     </w:t>
      </w:r>
    </w:p>
    <w:p w:rsidR="00E8192C" w:rsidRPr="00167D6E" w:rsidRDefault="00E8192C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167D6E" w:rsidRPr="00145C27" w:rsidRDefault="00167D6E" w:rsidP="00A200C5">
      <w:pPr>
        <w:pStyle w:val="a4"/>
        <w:shd w:val="clear" w:color="auto" w:fill="FFFFFF" w:themeFill="background1"/>
        <w:ind w:left="3540" w:firstLine="708"/>
        <w:rPr>
          <w:sz w:val="28"/>
          <w:szCs w:val="28"/>
        </w:rPr>
      </w:pPr>
      <w:r w:rsidRPr="00145C27">
        <w:rPr>
          <w:sz w:val="28"/>
          <w:szCs w:val="28"/>
        </w:rPr>
        <w:lastRenderedPageBreak/>
        <w:t xml:space="preserve">Приложение № </w:t>
      </w:r>
      <w:r w:rsidR="00971CEA" w:rsidRPr="00145C27">
        <w:rPr>
          <w:sz w:val="28"/>
          <w:szCs w:val="28"/>
        </w:rPr>
        <w:t>2</w:t>
      </w:r>
    </w:p>
    <w:p w:rsidR="00167D6E" w:rsidRPr="00145C27" w:rsidRDefault="00167D6E" w:rsidP="00A200C5">
      <w:pPr>
        <w:pStyle w:val="a4"/>
        <w:shd w:val="clear" w:color="auto" w:fill="FFFFFF" w:themeFill="background1"/>
        <w:ind w:left="4248"/>
        <w:rPr>
          <w:sz w:val="28"/>
          <w:szCs w:val="28"/>
        </w:rPr>
      </w:pPr>
      <w:proofErr w:type="gramStart"/>
      <w:r w:rsidRPr="00145C27">
        <w:rPr>
          <w:sz w:val="28"/>
          <w:szCs w:val="28"/>
        </w:rPr>
        <w:t xml:space="preserve">к Порядку проведения </w:t>
      </w:r>
      <w:r w:rsidR="00BC7F76" w:rsidRPr="00145C27">
        <w:rPr>
          <w:sz w:val="28"/>
          <w:szCs w:val="28"/>
        </w:rPr>
        <w:t>конкурса</w:t>
      </w:r>
      <w:r w:rsidRPr="00145C27">
        <w:rPr>
          <w:sz w:val="28"/>
          <w:szCs w:val="28"/>
        </w:rPr>
        <w:t xml:space="preserve"> для предоставления из бюджета </w:t>
      </w:r>
      <w:r w:rsidR="00576E10" w:rsidRPr="00145C27">
        <w:rPr>
          <w:sz w:val="28"/>
          <w:szCs w:val="28"/>
        </w:rPr>
        <w:t>муниципального образования</w:t>
      </w:r>
      <w:r w:rsidR="0034760E" w:rsidRPr="00145C27">
        <w:rPr>
          <w:sz w:val="28"/>
          <w:szCs w:val="28"/>
        </w:rPr>
        <w:t xml:space="preserve"> Соль-Илецкий городской округ</w:t>
      </w:r>
      <w:r w:rsidRPr="00145C27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145C27">
        <w:rPr>
          <w:sz w:val="28"/>
          <w:szCs w:val="28"/>
        </w:rPr>
        <w:t>связанных с выполнением работ</w:t>
      </w:r>
      <w:r w:rsidR="00B805EC" w:rsidRPr="00145C27">
        <w:rPr>
          <w:sz w:val="28"/>
          <w:szCs w:val="28"/>
        </w:rPr>
        <w:t xml:space="preserve"> </w:t>
      </w:r>
      <w:r w:rsidR="00566E00" w:rsidRPr="00145C27">
        <w:rPr>
          <w:sz w:val="28"/>
          <w:szCs w:val="28"/>
        </w:rPr>
        <w:t xml:space="preserve">по техническому обслуживанию и содержанию </w:t>
      </w:r>
      <w:r w:rsidR="008903F5">
        <w:rPr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sz w:val="28"/>
          <w:szCs w:val="28"/>
        </w:rPr>
        <w:t xml:space="preserve"> </w:t>
      </w:r>
      <w:proofErr w:type="gramEnd"/>
    </w:p>
    <w:p w:rsidR="00167D6E" w:rsidRPr="00FA7320" w:rsidRDefault="00167D6E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94609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30"/>
        <w:gridCol w:w="4016"/>
        <w:gridCol w:w="2410"/>
      </w:tblGrid>
      <w:tr w:rsidR="00694609" w:rsidRPr="008903F5" w:rsidTr="008903F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№-</w:t>
            </w:r>
            <w:proofErr w:type="gramStart"/>
            <w:r w:rsidRPr="008903F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903F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Критерий оценки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Единица измерения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Оценка в баллах</w:t>
            </w:r>
          </w:p>
        </w:tc>
      </w:tr>
      <w:tr w:rsidR="00694609" w:rsidRPr="008903F5" w:rsidTr="008903F5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Период осуществления деятельности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год осуществления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5 баллов за каждый год осуществления деятельности</w:t>
            </w:r>
          </w:p>
        </w:tc>
      </w:tr>
      <w:tr w:rsidR="00694609" w:rsidRPr="008903F5" w:rsidTr="008903F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опыта работы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 xml:space="preserve">1 договор  на оказание услуг </w:t>
            </w:r>
            <w:r w:rsidR="00897A60" w:rsidRPr="008903F5">
              <w:rPr>
                <w:rFonts w:ascii="Times New Roman" w:eastAsia="Times New Roman" w:hAnsi="Times New Roman" w:cs="Times New Roman"/>
              </w:rPr>
              <w:t xml:space="preserve">по </w:t>
            </w:r>
            <w:r w:rsidR="004D0B36" w:rsidRPr="008903F5">
              <w:rPr>
                <w:rFonts w:ascii="Times New Roman" w:eastAsia="Times New Roman" w:hAnsi="Times New Roman" w:cs="Times New Roman"/>
              </w:rPr>
              <w:t>текущему содержанию сетей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3 балла за каждый договор</w:t>
            </w:r>
          </w:p>
        </w:tc>
      </w:tr>
      <w:tr w:rsidR="00694609" w:rsidRPr="008903F5" w:rsidTr="008903F5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техники</w:t>
            </w:r>
            <w:r w:rsidR="0085106D" w:rsidRPr="008903F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609" w:rsidRPr="008903F5" w:rsidTr="008903F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Автоподъемник</w:t>
            </w:r>
          </w:p>
          <w:p w:rsidR="00694609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АГП-22 или аналог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C41AD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5 баллов за каждую единицу</w:t>
            </w:r>
          </w:p>
        </w:tc>
      </w:tr>
      <w:tr w:rsidR="006C41AD" w:rsidRPr="008903F5" w:rsidTr="008903F5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8903F5" w:rsidRDefault="006C41AD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ED" w:rsidRPr="008903F5" w:rsidRDefault="006C41AD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ИТР 3 балла  за человека;</w:t>
            </w:r>
          </w:p>
          <w:p w:rsidR="006C41AD" w:rsidRPr="008903F5" w:rsidRDefault="006C41AD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рабочий 1 балл за человека</w:t>
            </w:r>
          </w:p>
        </w:tc>
      </w:tr>
      <w:tr w:rsidR="00694609" w:rsidRPr="008903F5" w:rsidTr="008903F5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гаража</w:t>
            </w:r>
            <w:r w:rsidR="006C41AD" w:rsidRPr="008903F5">
              <w:rPr>
                <w:rFonts w:ascii="Times New Roman" w:eastAsia="Times New Roman" w:hAnsi="Times New Roman" w:cs="Times New Roman"/>
              </w:rPr>
              <w:t xml:space="preserve"> для хранения техники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Да 25  баллов;</w:t>
            </w:r>
          </w:p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</w:tr>
      <w:tr w:rsidR="00694609" w:rsidRPr="008903F5" w:rsidTr="008903F5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Диспетчерская служба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Да 15 баллов;</w:t>
            </w:r>
          </w:p>
          <w:p w:rsidR="00694609" w:rsidRPr="008903F5" w:rsidRDefault="00694609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</w:tr>
      <w:tr w:rsidR="004D0B36" w:rsidRPr="008903F5" w:rsidTr="008903F5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подсобного помещения для хранения электрооборудования и материалов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8903F5" w:rsidRDefault="004D0B36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8903F5" w:rsidRDefault="004D0B36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Да 5 баллов;</w:t>
            </w:r>
          </w:p>
          <w:p w:rsidR="004D0B36" w:rsidRPr="008903F5" w:rsidRDefault="004D0B36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</w:tr>
    </w:tbl>
    <w:p w:rsidR="00940160" w:rsidRDefault="00167D6E" w:rsidP="008903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двух и более претендентов, соответствующих критериям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67DC" w:rsidRDefault="009967DC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F62" w:rsidRPr="00145C27" w:rsidRDefault="00AD2F62" w:rsidP="00AD2F62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9967DC" w:rsidRPr="00360ACF" w:rsidRDefault="00AD2F62" w:rsidP="00AD2F62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конкурса для предоставления из бюджета муниципального образования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по техническому обслуживанию и содержанию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 </w:t>
      </w:r>
      <w:r w:rsidR="008903F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200C5" w:rsidRPr="00145C27" w:rsidTr="008903F5">
        <w:trPr>
          <w:trHeight w:val="228"/>
        </w:trPr>
        <w:tc>
          <w:tcPr>
            <w:tcW w:w="9356" w:type="dxa"/>
          </w:tcPr>
          <w:p w:rsidR="00A200C5" w:rsidRPr="00145C27" w:rsidRDefault="00A200C5" w:rsidP="007754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0C5" w:rsidRPr="00145C27" w:rsidTr="00BD7707">
        <w:tc>
          <w:tcPr>
            <w:tcW w:w="9356" w:type="dxa"/>
          </w:tcPr>
          <w:p w:rsidR="00A200C5" w:rsidRPr="00145C27" w:rsidRDefault="00A200C5" w:rsidP="008903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ОЦЕНОЧНЫЙ ЛИСТ 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03F5">
        <w:rPr>
          <w:rFonts w:ascii="Times New Roman" w:eastAsia="Times New Roman" w:hAnsi="Times New Roman" w:cs="Times New Roman"/>
        </w:rPr>
        <w:t xml:space="preserve">полное наименование участника </w:t>
      </w:r>
      <w:r w:rsidR="00BC7F76" w:rsidRPr="008903F5">
        <w:rPr>
          <w:rFonts w:ascii="Times New Roman" w:eastAsia="Times New Roman" w:hAnsi="Times New Roman" w:cs="Times New Roman"/>
        </w:rPr>
        <w:t>конкурса</w:t>
      </w:r>
      <w:r w:rsidRPr="008903F5">
        <w:rPr>
          <w:rFonts w:ascii="Times New Roman" w:eastAsia="Times New Roman" w:hAnsi="Times New Roman" w:cs="Times New Roman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809"/>
        <w:gridCol w:w="3167"/>
        <w:gridCol w:w="2126"/>
        <w:gridCol w:w="1418"/>
      </w:tblGrid>
      <w:tr w:rsidR="006C41AD" w:rsidRPr="008903F5" w:rsidTr="008903F5">
        <w:trPr>
          <w:trHeight w:val="7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№-</w:t>
            </w:r>
            <w:proofErr w:type="gramStart"/>
            <w:r w:rsidRPr="008903F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903F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Критерий оценки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Единица измерения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1AD" w:rsidRPr="008903F5" w:rsidRDefault="006C41AD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Оценка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8903F5" w:rsidRDefault="006C41AD" w:rsidP="0089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6C41AD" w:rsidRPr="008903F5" w:rsidRDefault="006C41AD" w:rsidP="0089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баллов</w:t>
            </w:r>
          </w:p>
        </w:tc>
      </w:tr>
      <w:tr w:rsidR="00832DFC" w:rsidRPr="008903F5" w:rsidTr="008903F5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Период осуществления деятельности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год осуществления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5 баллов за каждый год осуществления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опыта работы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договор  на оказание услуг по текущему содержанию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3 балла за каждый договор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техники: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Автоподъемник</w:t>
            </w:r>
          </w:p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АГП-22 или аналог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5 баллов за каждую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18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ИТР 3 балла  за человека;</w:t>
            </w:r>
          </w:p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рабочий 1 балл за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6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гаража для хранения техники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Да 25  баллов;</w:t>
            </w:r>
          </w:p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4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Диспетчерская служба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Да 15 баллов;</w:t>
            </w:r>
          </w:p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DFC" w:rsidRPr="008903F5" w:rsidTr="008903F5">
        <w:trPr>
          <w:trHeight w:val="4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Наличие подсобного помещения для хранения электрооборудования и материалов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Да 5 баллов;</w:t>
            </w:r>
          </w:p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Нет 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8903F5" w:rsidRDefault="00832DFC" w:rsidP="008903F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32A3" w:rsidRPr="008903F5" w:rsidTr="008903F5">
        <w:trPr>
          <w:trHeight w:val="1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8903F5" w:rsidRDefault="00E732A3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8903F5" w:rsidRDefault="00E732A3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03F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8903F5" w:rsidRDefault="00E732A3" w:rsidP="00890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0250" w:rsidRDefault="00BA0250" w:rsidP="008007C0">
      <w:pPr>
        <w:pStyle w:val="a4"/>
        <w:shd w:val="clear" w:color="auto" w:fill="FFFFFF" w:themeFill="background1"/>
        <w:rPr>
          <w:sz w:val="20"/>
          <w:szCs w:val="20"/>
        </w:rPr>
      </w:pPr>
    </w:p>
    <w:p w:rsidR="00167D6E" w:rsidRPr="00145C27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145C27">
        <w:rPr>
          <w:sz w:val="28"/>
          <w:szCs w:val="28"/>
        </w:rPr>
        <w:t>Председатель комиссии: ___________ _________________________________ </w:t>
      </w:r>
    </w:p>
    <w:p w:rsidR="00167D6E" w:rsidRPr="008903F5" w:rsidRDefault="00167D6E" w:rsidP="008007C0">
      <w:pPr>
        <w:pStyle w:val="a4"/>
        <w:shd w:val="clear" w:color="auto" w:fill="FFFFFF" w:themeFill="background1"/>
        <w:rPr>
          <w:sz w:val="22"/>
          <w:szCs w:val="22"/>
        </w:rPr>
      </w:pPr>
      <w:r w:rsidRPr="00145C27">
        <w:rPr>
          <w:sz w:val="28"/>
          <w:szCs w:val="28"/>
        </w:rPr>
        <w:t xml:space="preserve">                                               </w:t>
      </w:r>
      <w:r w:rsidRPr="008903F5">
        <w:rPr>
          <w:sz w:val="22"/>
          <w:szCs w:val="22"/>
        </w:rPr>
        <w:t>подпись)                         (фамилия, имя, отчество) </w:t>
      </w:r>
    </w:p>
    <w:p w:rsidR="00BA0250" w:rsidRPr="008903F5" w:rsidRDefault="00BA0250" w:rsidP="008007C0">
      <w:pPr>
        <w:pStyle w:val="a4"/>
        <w:shd w:val="clear" w:color="auto" w:fill="FFFFFF" w:themeFill="background1"/>
        <w:rPr>
          <w:sz w:val="22"/>
          <w:szCs w:val="22"/>
        </w:rPr>
      </w:pPr>
    </w:p>
    <w:p w:rsidR="00167D6E" w:rsidRPr="00145C27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145C27">
        <w:rPr>
          <w:sz w:val="28"/>
          <w:szCs w:val="28"/>
        </w:rPr>
        <w:t>Секретарь комиссии: ____________ ___________________________________ </w:t>
      </w:r>
    </w:p>
    <w:p w:rsidR="00167D6E" w:rsidRPr="008903F5" w:rsidRDefault="00167D6E" w:rsidP="008007C0">
      <w:pPr>
        <w:pStyle w:val="a4"/>
        <w:shd w:val="clear" w:color="auto" w:fill="FFFFFF" w:themeFill="background1"/>
        <w:rPr>
          <w:sz w:val="22"/>
          <w:szCs w:val="22"/>
        </w:rPr>
      </w:pPr>
      <w:r w:rsidRPr="00145C27">
        <w:rPr>
          <w:sz w:val="28"/>
          <w:szCs w:val="28"/>
        </w:rPr>
        <w:t>                                                </w:t>
      </w:r>
      <w:r w:rsidRPr="008903F5">
        <w:rPr>
          <w:sz w:val="22"/>
          <w:szCs w:val="22"/>
        </w:rPr>
        <w:t>(подпись)                        (фамилия, имя, отчество) </w:t>
      </w:r>
    </w:p>
    <w:p w:rsidR="00E732A3" w:rsidRPr="008903F5" w:rsidRDefault="00E732A3" w:rsidP="009967D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41AD" w:rsidRDefault="00167D6E" w:rsidP="009967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8192C">
        <w:rPr>
          <w:rFonts w:ascii="Times New Roman" w:hAnsi="Times New Roman" w:cs="Times New Roman"/>
          <w:sz w:val="28"/>
          <w:szCs w:val="28"/>
        </w:rPr>
        <w:t>« ___»  ___________ 20_</w:t>
      </w:r>
      <w:r w:rsidR="00E8192C">
        <w:rPr>
          <w:rFonts w:ascii="Times New Roman" w:hAnsi="Times New Roman" w:cs="Times New Roman"/>
          <w:sz w:val="28"/>
          <w:szCs w:val="28"/>
        </w:rPr>
        <w:t>_</w:t>
      </w:r>
      <w:r w:rsidRPr="00E8192C">
        <w:rPr>
          <w:rFonts w:ascii="Times New Roman" w:hAnsi="Times New Roman" w:cs="Times New Roman"/>
          <w:sz w:val="28"/>
          <w:szCs w:val="28"/>
        </w:rPr>
        <w:t>_ год</w:t>
      </w: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940160" w:rsidRDefault="00940160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8903F5" w:rsidRDefault="008903F5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P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</w:t>
      </w:r>
      <w:r w:rsidR="00A200C5" w:rsidRPr="00145C27">
        <w:rPr>
          <w:rFonts w:ascii="Times New Roman" w:eastAsia="Arial Unicode MS" w:hAnsi="Times New Roman" w:cs="Times New Roman"/>
          <w:sz w:val="28"/>
          <w:szCs w:val="28"/>
        </w:rPr>
        <w:t xml:space="preserve"> №2</w:t>
      </w:r>
    </w:p>
    <w:p w:rsidR="00374B17" w:rsidRPr="00145C27" w:rsidRDefault="00FA7320" w:rsidP="00145C27">
      <w:pPr>
        <w:shd w:val="clear" w:color="auto" w:fill="FFFFFF" w:themeFill="background1"/>
        <w:ind w:left="4956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74B17" w:rsidRPr="00145C27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постановлению администрации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от___________2016 №________</w:t>
      </w:r>
    </w:p>
    <w:p w:rsidR="006640C4" w:rsidRPr="00BA3C4E" w:rsidRDefault="006640C4" w:rsidP="00BA3C4E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6640C4" w:rsidRPr="00145C27" w:rsidRDefault="00E732A3" w:rsidP="003457EF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5510" w:rsidRPr="00145C27">
        <w:rPr>
          <w:rFonts w:ascii="Times New Roman" w:hAnsi="Times New Roman" w:cs="Times New Roman"/>
          <w:sz w:val="28"/>
          <w:szCs w:val="28"/>
        </w:rPr>
        <w:t>С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</w:t>
      </w:r>
      <w:r w:rsidR="00BC7F76" w:rsidRPr="00145C27">
        <w:rPr>
          <w:rFonts w:ascii="Times New Roman" w:hAnsi="Times New Roman" w:cs="Times New Roman"/>
          <w:sz w:val="28"/>
          <w:szCs w:val="28"/>
        </w:rPr>
        <w:t>конкурса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 w:rsidR="00BA3C4E">
        <w:rPr>
          <w:rFonts w:ascii="Times New Roman" w:eastAsia="Times New Roman" w:hAnsi="Times New Roman" w:cs="Times New Roman"/>
          <w:sz w:val="28"/>
          <w:szCs w:val="28"/>
        </w:rPr>
        <w:t xml:space="preserve">сетей уличного освещения сельских населенных пунктов на территории  Соль-Илецкого городского округа. </w:t>
      </w:r>
      <w:r w:rsidR="00BA3C4E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A3C4E" w:rsidRPr="0057742B" w:rsidRDefault="006640C4" w:rsidP="00BA3C4E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BA3C4E" w:rsidRPr="0057742B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М.М.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строительству, транспорту, благоустройству и ЖКХ;</w:t>
      </w:r>
    </w:p>
    <w:p w:rsidR="00BA3C4E" w:rsidRPr="0057742B" w:rsidRDefault="00BA3C4E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C4E" w:rsidRPr="0057742B" w:rsidRDefault="00BA3C4E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BA3C4E" w:rsidRDefault="00BA3C4E" w:rsidP="00BA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Соль-Илецкого </w:t>
      </w:r>
      <w:proofErr w:type="gramStart"/>
      <w:r w:rsidRPr="0057742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A3C4E" w:rsidRPr="0057742B" w:rsidRDefault="00BA3C4E" w:rsidP="00BA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округа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 экономике, бюджетным отношениям и инвестиционной политике</w:t>
      </w:r>
      <w:r w:rsidRPr="0057742B">
        <w:rPr>
          <w:rFonts w:ascii="Times New Roman" w:hAnsi="Times New Roman" w:cs="Times New Roman"/>
          <w:sz w:val="28"/>
          <w:szCs w:val="28"/>
        </w:rPr>
        <w:t>;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А.В. Якунина – ведущий специалист отдела по строительству, транспорту, ЖКХ, дорожному хозяйству, газификации и связи;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>Члены комиссии:</w:t>
      </w:r>
      <w:r w:rsidRPr="0057742B">
        <w:rPr>
          <w:rFonts w:ascii="Times New Roman" w:hAnsi="Times New Roman" w:cs="Times New Roman"/>
          <w:sz w:val="28"/>
          <w:szCs w:val="28"/>
        </w:rPr>
        <w:tab/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председатель комитета экономического анализа и прогнозирования;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Р.Р.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главный специалист юридического отдела;</w:t>
      </w:r>
    </w:p>
    <w:p w:rsidR="00BA3C4E" w:rsidRPr="0057742B" w:rsidRDefault="00BA3C4E" w:rsidP="00BA3C4E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начальник отдела по строительству, транспорту, ЖКХ, дорожному хозяйству, газификации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C4E" w:rsidRPr="00D4133F" w:rsidRDefault="00BA3C4E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60" w:rsidRPr="00145C27" w:rsidRDefault="00940160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160" w:rsidRPr="00145C27" w:rsidSect="008903F5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D85"/>
    <w:rsid w:val="00090927"/>
    <w:rsid w:val="0009276C"/>
    <w:rsid w:val="00095F4D"/>
    <w:rsid w:val="000961D8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B7F38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CC3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03F5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0250"/>
    <w:rsid w:val="00BA3C4E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3901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Якунина</cp:lastModifiedBy>
  <cp:revision>24</cp:revision>
  <cp:lastPrinted>2016-03-21T11:05:00Z</cp:lastPrinted>
  <dcterms:created xsi:type="dcterms:W3CDTF">2016-02-18T07:12:00Z</dcterms:created>
  <dcterms:modified xsi:type="dcterms:W3CDTF">2016-05-19T10:07:00Z</dcterms:modified>
</cp:coreProperties>
</file>